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d2d2d"/>
          <w:sz w:val="24"/>
          <w:szCs w:val="24"/>
          <w:highlight w:val="white"/>
        </w:rPr>
      </w:pPr>
      <w:r w:rsidDel="00000000" w:rsidR="00000000" w:rsidRPr="00000000">
        <w:rPr>
          <w:color w:val="2d2d2d"/>
          <w:sz w:val="24"/>
          <w:szCs w:val="24"/>
          <w:highlight w:val="white"/>
          <w:rtl w:val="0"/>
        </w:rPr>
        <w:t xml:space="preserve">In this codex, I learned how to use functions like np.sqrt, which connects to the competency combine functions, including those from software libraries, to generate outputs like calculations. I also realized how important colons are in Python, which relates to use best practices for writing code in Python for programs of any size, because forgetting small things can break the code. Additionally, I practiced defining and calling functions in Python by creating functions to create images.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