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60" w:line="360" w:lineRule="auto"/>
        <w:rPr>
          <w:color w:val="2d2d2d"/>
          <w:sz w:val="24"/>
          <w:szCs w:val="24"/>
          <w:highlight w:val="white"/>
        </w:rPr>
      </w:pPr>
      <w:r w:rsidDel="00000000" w:rsidR="00000000" w:rsidRPr="00000000">
        <w:rPr>
          <w:color w:val="2d2d2d"/>
          <w:sz w:val="24"/>
          <w:szCs w:val="24"/>
          <w:highlight w:val="white"/>
          <w:rtl w:val="0"/>
        </w:rPr>
        <w:t xml:space="preserve">I did not struggle long or hard enough to be worthy of being in this answer, but this week's experiences taught me that different languages are similar and different in many ways.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