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Default="00ED1BDA" w:rsidP="00FE4C4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4C241B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p w:rsidR="00FE4C46" w:rsidRDefault="00FE4C46" w:rsidP="00FE4C4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75220D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</w:t>
      </w:r>
      <w:r w:rsidR="00BD0AD5">
        <w:rPr>
          <w:rFonts w:ascii="Times New Roman" w:hAnsi="Times New Roman" w:cs="Times New Roman"/>
          <w:i/>
          <w:sz w:val="24"/>
          <w:szCs w:val="24"/>
          <w:lang w:val="en-US"/>
        </w:rPr>
        <w:t>opulation variances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 and sample sizes are unequal (condition b).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066934">
              <w:rPr>
                <w:b/>
              </w:rPr>
              <w:t>Absolute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deviation</w:t>
            </w:r>
            <w:proofErr w:type="spellEnd"/>
            <w:r w:rsidRPr="00066934">
              <w:rPr>
                <w:b/>
              </w:rPr>
              <w:t xml:space="preserve">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</w:t>
            </w:r>
            <w:proofErr w:type="gramStart"/>
            <w:r w:rsidRPr="00066934">
              <w:rPr>
                <w:b/>
              </w:rPr>
              <w:t>E(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Ratio </w:t>
            </w:r>
            <w:proofErr w:type="spellStart"/>
            <w:r w:rsidRPr="00066934">
              <w:rPr>
                <w:b/>
              </w:rPr>
              <w:t>between</w:t>
            </w:r>
            <w:proofErr w:type="spellEnd"/>
            <w:r w:rsidRPr="00066934">
              <w:rPr>
                <w:b/>
              </w:rPr>
              <w:t xml:space="preserve"> empirical and theoretical variances</w:t>
            </w:r>
          </w:p>
          <w:p w:rsidR="007B1BB5" w:rsidRPr="00066934" w:rsidRDefault="00BD0AD5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  <w:bookmarkStart w:id="0" w:name="_GoBack"/>
            <w:bookmarkEnd w:id="0"/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</w:tr>
      <w:tr w:rsidR="005756A6" w:rsidTr="006637E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r>
              <w:rPr>
                <w:b/>
              </w:rPr>
              <w:t xml:space="preserve">Cohen’s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5756A6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5756A6" w:rsidTr="006637E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</w:t>
            </w:r>
            <w:proofErr w:type="gramStart"/>
            <w:r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5756A6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</w:pPr>
            <w:r>
              <w:rPr>
                <w:b/>
              </w:rPr>
              <w:t>Cohen’s g*</w:t>
            </w:r>
            <w:r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0,925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</w:tr>
      <w:tr w:rsidR="005756A6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5756A6" w:rsidRDefault="005756A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Shieh’s </w:t>
            </w:r>
            <w:proofErr w:type="spellStart"/>
            <w:r>
              <w:rPr>
                <w:b/>
              </w:rPr>
              <w:t>g</w:t>
            </w:r>
            <w:r>
              <w:rPr>
                <w:b/>
                <w:vertAlign w:val="subscript"/>
              </w:rPr>
              <w:t>s</w:t>
            </w:r>
            <w:proofErr w:type="spell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0,900</w:t>
            </w:r>
          </w:p>
        </w:tc>
        <w:tc>
          <w:tcPr>
            <w:tcW w:w="1276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0,959</w:t>
            </w:r>
          </w:p>
        </w:tc>
        <w:tc>
          <w:tcPr>
            <w:tcW w:w="2568" w:type="dxa"/>
            <w:vAlign w:val="center"/>
          </w:tcPr>
          <w:p w:rsidR="005756A6" w:rsidRDefault="005756A6" w:rsidP="006637E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C241B"/>
    <w:rsid w:val="00503D5F"/>
    <w:rsid w:val="005756A6"/>
    <w:rsid w:val="006637E3"/>
    <w:rsid w:val="0075220D"/>
    <w:rsid w:val="007B1BB5"/>
    <w:rsid w:val="007E285E"/>
    <w:rsid w:val="008D609B"/>
    <w:rsid w:val="00926E6C"/>
    <w:rsid w:val="009F44A1"/>
    <w:rsid w:val="00A5777D"/>
    <w:rsid w:val="00BD0AD5"/>
    <w:rsid w:val="00C45764"/>
    <w:rsid w:val="00E6675D"/>
    <w:rsid w:val="00ED1BDA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8</cp:revision>
  <dcterms:created xsi:type="dcterms:W3CDTF">2021-03-15T10:32:00Z</dcterms:created>
  <dcterms:modified xsi:type="dcterms:W3CDTF">2021-04-23T11:52:00Z</dcterms:modified>
</cp:coreProperties>
</file>