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2.png" ContentType="image/png"/>
  <Override PartName="/word/media/rId47.png" ContentType="image/png"/>
  <Override PartName="/word/media/rId49.png" ContentType="image/png"/>
  <Override PartName="/word/media/rId38.png" ContentType="image/png"/>
  <Override PartName="/word/media/rId6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Statistiques</w:t>
      </w:r>
    </w:p>
    <w:p>
      <w:pPr>
        <w:pStyle w:val="Author"/>
      </w:pPr>
      <w:r>
        <w:t xml:space="preserve">Marie</w:t>
      </w:r>
      <w:r>
        <w:t xml:space="preserve"> </w:t>
      </w:r>
      <w:r>
        <w:t xml:space="preserve">Delacre</w:t>
      </w:r>
    </w:p>
    <w:p>
      <w:pPr>
        <w:pStyle w:val="Heading1"/>
      </w:pPr>
      <w:bookmarkStart w:id="21" w:name="chapitre-1-quest-ce-que-la-statistique-et-a-quoi-sert-elle"/>
      <w:bookmarkEnd w:id="21"/>
      <w:r>
        <w:t xml:space="preserve">Chapitre 1: qu’est-ce que la statistique, et à quoi sert-elle?</w:t>
      </w:r>
    </w:p>
    <w:p>
      <w:pPr>
        <w:pStyle w:val="Heading2"/>
      </w:pPr>
      <w:bookmarkStart w:id="22" w:name="quest-ce-que-la-statistique"/>
      <w:bookmarkEnd w:id="22"/>
      <w:r>
        <w:t xml:space="preserve">Qu’est-ce que la statistique?</w:t>
      </w:r>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Heading3"/>
      </w:pPr>
      <w:bookmarkStart w:id="23" w:name="la-recolte-des-donnees-les-concepts-de-population-individus-et-echantillons"/>
      <w:bookmarkEnd w:id="23"/>
      <w:r>
        <w:t xml:space="preserve">La récolte des données: les concepts de population, individus et échantillons</w:t>
      </w:r>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 cette population sont appelés</w:t>
      </w:r>
      <w:r>
        <w:t xml:space="preserve"> </w:t>
      </w:r>
      <w:r>
        <w:rPr>
          <w:b/>
        </w:rPr>
        <w:t xml:space="preserve">individus</w:t>
      </w:r>
      <w:r>
        <w:t xml:space="preserve"> </w:t>
      </w:r>
      <w:r>
        <w:t xml:space="preserve">ou</w:t>
      </w:r>
      <w:r>
        <w:t xml:space="preserve"> </w:t>
      </w:r>
      <w:r>
        <w:rPr>
          <w:b/>
        </w:rPr>
        <w:t xml:space="preserve">unité statistique</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BodyText"/>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BodyText"/>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mêtre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Heading3"/>
      </w:pPr>
      <w:bookmarkStart w:id="24" w:name="le-traitement-des-donnees-appelee-egalement-la-statistique-descriptive"/>
      <w:bookmarkEnd w:id="24"/>
      <w:r>
        <w:t xml:space="preserve">Le traitement des données, appelée également la statistique descriptive</w:t>
      </w:r>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BodyText"/>
      </w:pPr>
      <w:r>
        <w:t xml:space="preserve">Table 1.1</w:t>
      </w:r>
      <w:r>
        <w:br w:type="textWrapping"/>
      </w:r>
      <w:r>
        <w:rPr>
          <w:i/>
        </w:rPr>
        <w:t xml:space="preserve">Données socio-démographiques récoltées auprès de 15 employés du secteur automobile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BodyText"/>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t xml:space="preserve"> </w:t>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BodyText"/>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BodyText"/>
      </w:pPr>
      <w:r>
        <w:t xml:space="preserve">Nous avons déjà évoqué le fait que la</w:t>
      </w:r>
      <w:r>
        <w:t xml:space="preserve"> </w:t>
      </w:r>
      <w:r>
        <w:rPr>
          <w:i/>
        </w:rPr>
        <w:t xml:space="preserve">nature</w:t>
      </w:r>
      <w:r>
        <w:t xml:space="preserve"> </w:t>
      </w:r>
      <w:r>
        <w:t xml:space="preserve">des variables en jeu aura des implications sur les possibilités d’analyses. Le choix des représentations graphiques et des résumés algébriques que l’on pourra réaliser à l’aide des données dépendront de cette nature!</w:t>
      </w:r>
    </w:p>
    <w:p>
      <w:pPr>
        <w:pStyle w:val="Heading3"/>
      </w:pPr>
      <w:bookmarkStart w:id="25" w:name="linterpretation-des-donnees-appelee-egalement-la-statistique-inferentielle"/>
      <w:bookmarkEnd w:id="25"/>
      <w:r>
        <w:t xml:space="preserve">L’interprétation des données, appelée également la statistique inférentielle</w:t>
      </w:r>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Heading2"/>
      </w:pPr>
      <w:bookmarkStart w:id="26" w:name="a-quoi-sert-la-statistique"/>
      <w:bookmarkEnd w:id="26"/>
      <w:r>
        <w:t xml:space="preserve">A quoi sert la statistique?</w:t>
      </w:r>
    </w:p>
    <w:p>
      <w:pPr>
        <w:pStyle w:val="Heading2"/>
      </w:pPr>
      <w:bookmarkStart w:id="27" w:name="importance-des-statistiques-pour-un-comptable"/>
      <w:bookmarkEnd w:id="27"/>
      <w:r>
        <w:t xml:space="preserve">Importance des statistiques pour un comptable</w:t>
      </w:r>
    </w:p>
    <w:p>
      <w:pPr>
        <w:pStyle w:val="Heading2"/>
      </w:pPr>
      <w:bookmarkStart w:id="28" w:name="voir-sils-ont-eu-beaucoup-de-statistiques-ou-math.-eventuellement-faire-uen-section-de-rappel-math."/>
      <w:bookmarkEnd w:id="28"/>
      <w:r>
        <w:t xml:space="preserve">Voir s’ils ont eu beaucoup de statistiques ou math. Eventuellement faire uen section de rappel math.</w:t>
      </w:r>
    </w:p>
    <w:p>
      <w:pPr>
        <w:pStyle w:val="Heading1"/>
      </w:pPr>
      <w:bookmarkStart w:id="29" w:name="chapitre-2-mesure-des-variables"/>
      <w:bookmarkEnd w:id="29"/>
      <w:r>
        <w:t xml:space="preserve">Chapitre 2: mesure des variables</w:t>
      </w:r>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BodyText"/>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Heading3"/>
      </w:pPr>
      <w:bookmarkStart w:id="30" w:name="les-variables-qualitatives"/>
      <w:bookmarkEnd w:id="30"/>
      <w:r>
        <w:t xml:space="preserve">Les variables qualitatives</w:t>
      </w:r>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BodyText"/>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BodyText"/>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BodyText"/>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 est de type ordinal, dans la mesure où l’on sait que les grands sont plus grands que les moyens, étant eux-mêmes plus grands que les petits.</w:t>
      </w:r>
    </w:p>
    <w:p>
      <w:pPr>
        <w:pStyle w:val="BodyText"/>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Heading2"/>
      </w:pPr>
      <w:bookmarkStart w:id="31" w:name="les-variables-quantitatives"/>
      <w:bookmarkEnd w:id="31"/>
      <w:r>
        <w:t xml:space="preserve">Les variables quantitatives</w:t>
      </w:r>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ses valeurs. Par exemple, si un fermier dispose de deux poules, que la première pond trois oeufs et la deuxième en pond deux, il est correct de dire que le fermier trouvera 5 oeufs lorsqu’il se rendra dans son poulailler.</w:t>
      </w:r>
    </w:p>
    <w:p>
      <w:pPr>
        <w:pStyle w:val="BodyText"/>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BodyText"/>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Heading1"/>
      </w:pPr>
      <w:bookmarkStart w:id="32" w:name="chapitre-3-exploration-graphique-des-donnees-a-une-dimension"/>
      <w:bookmarkEnd w:id="32"/>
      <w:r>
        <w:t xml:space="preserve">Chapitre 3: exploration graphique des données à une dimension</w:t>
      </w:r>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BodyText"/>
      </w:pPr>
      <w:r>
        <w:t xml:space="preserve">Il existe une multitude de représentations graphiques si bien qu’il n’est pas toujours évident de savoir quelle représentation choisir. Par ailleurs, certains logiciels proposent des solutions plus ou moins fantaisistes qui peuvent sembler tententes (représentations en 3D, avec couleurs inhabituelles, textures bois…). Je déconseille vivement l’usage de ces artifices. Gardez qu’une bonne présentation est la clé d’une bonne communication. Afin de vous guider vers des choix judicieux, je concluerai ce chapitre sur l’exploration des graphique par quelques conseils qui m’avaient été donnés lors d’un atelier, il y a quelques années, par un brillant scientifique de l’UCL dénommé Christian Ritter.</w:t>
      </w:r>
    </w:p>
    <w:p>
      <w:pPr>
        <w:pStyle w:val="BodyText"/>
      </w:pPr>
      <w:r>
        <w:t xml:space="preserve">Pour l’heure, 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Heading2"/>
      </w:pPr>
      <w:bookmarkStart w:id="33" w:name="les-graphiques-construits-sur-base-des-tableaux-de-frequences"/>
      <w:bookmarkEnd w:id="33"/>
      <w:r>
        <w:t xml:space="preserve">Les graphiques construits sur base des tableaux de fréquences</w:t>
      </w:r>
    </w:p>
    <w:p>
      <w:pPr>
        <w:pStyle w:val="Heading3"/>
      </w:pPr>
      <w:bookmarkStart w:id="34" w:name="variables-quantitatives-discretes"/>
      <w:bookmarkEnd w:id="34"/>
      <w:r>
        <w:t xml:space="preserve">Variables quantitatives discrètes</w:t>
      </w:r>
    </w:p>
    <w:p>
      <w:pPr>
        <w:pStyle w:val="FirstParagraph"/>
      </w:pPr>
      <w:r>
        <w:t xml:space="preserve">Table 3.1.1</w:t>
      </w:r>
      <w:r>
        <w:br w:type="textWrapping"/>
      </w:r>
      <w:r>
        <w:rPr>
          <w:i/>
        </w:rPr>
        <w:t xml:space="preserve">Données brutes relatives au nombre d’enfants par ménages, au sein de 40 ménages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Heading4"/>
      </w:pPr>
      <w:bookmarkStart w:id="35" w:name="simplification-des-donnees-transformation-en-tableaux-de-frequences"/>
      <w:bookmarkEnd w:id="35"/>
      <w:r>
        <w:t xml:space="preserve">Simplification des données: transformation en tableaux de fréquences</w:t>
      </w:r>
    </w:p>
    <w:p>
      <w:pPr>
        <w:pStyle w:val="FirstParagraph"/>
      </w:pPr>
      <w:r>
        <w:t xml:space="preserve">Pour illustration, la Table 3.1.1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BodyText"/>
      </w:pPr>
      <w:r>
        <w:t xml:space="preserve">La première étape va être de simplifier ce tableau, ce qui peut se faire à l’aide d’une distribution de fréquences. La Table 3.1.2 correspond à cette étape. Alors que dans la Table 3.1.1, chaque ligne représentait un individu, dans la Table 3.1.2, chaque ligne représente une valeur possible de la variable. 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vaiable X seront symboliées par x). On utilise l’indice</w:t>
      </w:r>
      <w:r>
        <w:t xml:space="preserve"> </w:t>
      </w:r>
      <w:r>
        <w:rPr>
          <w:i/>
        </w:rPr>
        <w:t xml:space="preserve">j</w:t>
      </w:r>
      <w:r>
        <w:t xml:space="preserve"> </w:t>
      </w:r>
      <w:r>
        <w:t xml:space="preserve">pour se référer à chaque valeur possible, j pouvant varier de 1 à k (dans le cas présent, k = 5). On symbolise par</w:t>
      </w:r>
      <w:r>
        <w:t xml:space="preserve"> </w:t>
      </w:r>
      <m:oMath>
        <m:sSub>
          <m:e>
            <m:r>
              <m:t>x</m:t>
            </m:r>
          </m:e>
          <m:sub>
            <m:r>
              <m:t>j</m:t>
            </m:r>
          </m:sub>
        </m:sSub>
      </m:oMath>
      <w:r>
        <w:t xml:space="preserve"> </w:t>
      </w:r>
      <w:r>
        <w:t xml:space="preserve">(x indicé j) la jème valeur possible de la variable X. Par exemple, dans la</w:t>
      </w:r>
      <w:r>
        <w:t xml:space="preserve"> </w:t>
      </w:r>
      <m:oMath>
        <m:sSub>
          <m:e>
            <m:r>
              <m:t>x</m:t>
            </m:r>
          </m:e>
          <m:sub>
            <m:r>
              <m:t>3</m:t>
            </m:r>
          </m:sub>
        </m:sSub>
        <m:r>
          <m:t>=</m:t>
        </m:r>
        <m:r>
          <m:t>3</m:t>
        </m:r>
      </m:oMath>
      <w:r>
        <w:t xml:space="preserve"> </w:t>
      </w:r>
      <w:r>
        <w:t xml:space="preserve">et</w:t>
      </w:r>
      <w:r>
        <w:t xml:space="preserve"> </w:t>
      </w:r>
      <m:oMath>
        <m:sSub>
          <m:e>
            <m:r>
              <m:t>x</m:t>
            </m:r>
          </m:e>
          <m:sub>
            <m:r>
              <m:t>5</m:t>
            </m:r>
          </m:sub>
        </m:sSub>
        <m:r>
          <m:t>=</m:t>
        </m:r>
        <m:r>
          <m:t>5</m:t>
        </m:r>
      </m:oMath>
      <w:r>
        <w:t xml:space="preserve">.</w:t>
      </w:r>
    </w:p>
    <w:p>
      <w:pPr>
        <w:pStyle w:val="BodyText"/>
      </w:pPr>
      <w:r>
        <w:t xml:space="preserve">Table 3.1.2</w:t>
      </w:r>
      <w:r>
        <w:br w:type="textWrapping"/>
      </w:r>
      <w:r>
        <w:rPr>
          <w:i/>
        </w:rPr>
        <w:t xml:space="preserve">Transformation de la Table 3.1.1 en tableau de fréquence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BodyText"/>
      </w:pPr>
      <w:r>
        <w:t xml:space="preserve">Comme vous pouvez l’observer, les nombres possibles d’enfants par ménage ont été envisagés et le nombre de ménages ayant obtenu un certain nombre d’enfants constitue ce que l’on appelle la</w:t>
      </w:r>
      <w:r>
        <w:t xml:space="preserve"> </w:t>
      </w:r>
      <w:r>
        <w:rPr>
          <w:b/>
        </w:rPr>
        <w:t xml:space="preserve">fréquence absolue</w:t>
      </w:r>
      <w:r>
        <w:t xml:space="preserve"> </w:t>
      </w:r>
      <w:r>
        <w:t xml:space="preserve">(notation:</w:t>
      </w:r>
      <w:r>
        <w:t xml:space="preserve"> </w:t>
      </w:r>
      <m:oMath>
        <m:sSub>
          <m:e>
            <m:r>
              <m:t>n</m:t>
            </m:r>
          </m:e>
          <m:sub>
            <m:r>
              <m:t>j</m:t>
            </m:r>
          </m:sub>
        </m:sSub>
      </m:oMath>
      <w:r>
        <w:t xml:space="preserve">). La somme des fréquences absolues correspond au nombre total de ménages constituant l’échantillon (ici, n vaut 40).</w:t>
      </w:r>
    </w:p>
    <w:p>
      <w:pPr>
        <w:pStyle w:val="BodyText"/>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La colonne suivante contient la même information mais par rapport à l’ensemble des ménages, c’est la</w:t>
      </w:r>
      <w:r>
        <w:t xml:space="preserve"> </w:t>
      </w:r>
      <w:r>
        <w:rPr>
          <w:b/>
        </w:rPr>
        <w:t xml:space="preserve">fréquence relative</w:t>
      </w:r>
      <w:r>
        <w:t xml:space="preserve"> </w:t>
      </w:r>
      <w:r>
        <w:t xml:space="preserve">(notation:</w:t>
      </w:r>
      <w:r>
        <w:t xml:space="preserve"> </w:t>
      </w:r>
      <m:oMath>
        <m:sSub>
          <m:e>
            <m:r>
              <m:t>f</m:t>
            </m:r>
          </m:e>
          <m:sub>
            <m:r>
              <m:t>i</m:t>
            </m:r>
          </m:sub>
        </m:sSub>
      </m:oMath>
      <w:r>
        <w:t xml:space="preserve">).</w:t>
      </w:r>
    </w:p>
    <w:p>
      <w:pPr>
        <w:pStyle w:val="BodyText"/>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br w:type="textWrapping"/>
      </w:r>
      <w:r>
        <w:t xml:space="preserve">Par exemple, 9 ménages sur 40 ont obtenu 3 enfants, or 9/40 x 100 = 22.5 % (22.5% des ménages de notre échantillon ont exactement 3 enfants).</w:t>
      </w:r>
    </w:p>
    <w:p>
      <w:pPr>
        <w:pStyle w:val="BodyText"/>
      </w:pPr>
      <w:r>
        <w:t xml:space="preserve">La colonne suivante contient la somme des fréquences absolues, ce qu’on appelle les</w:t>
      </w:r>
      <w:r>
        <w:t xml:space="preserve"> </w:t>
      </w:r>
      <w:r>
        <w:rPr>
          <w:b/>
        </w:rPr>
        <w:t xml:space="preserve">fréquences cumulées</w:t>
      </w:r>
      <w:r>
        <w:t xml:space="preserve"> </w:t>
      </w:r>
      <w:r>
        <w:t xml:space="preserve">(notation:</w:t>
      </w:r>
      <w:r>
        <w:t xml:space="preserve"> </w:t>
      </w:r>
      <m:oMath>
        <m:sSub>
          <m:e>
            <m:r>
              <m:t>N</m:t>
            </m:r>
          </m:e>
          <m:sub>
            <m:r>
              <m:t>i</m:t>
            </m:r>
          </m:sub>
        </m:sSub>
      </m:oMath>
      <w:r>
        <w:t xml:space="preserve">).</w:t>
      </w:r>
    </w:p>
    <w:p>
      <w:pPr>
        <w:pStyle w:val="BodyText"/>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me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i</m:t>
            </m:r>
          </m:sub>
        </m:sSub>
      </m:oMath>
      <w:r>
        <w:t xml:space="preserve">).</w:t>
      </w:r>
    </w:p>
    <w:p>
      <w:pPr>
        <w:pStyle w:val="BodyText"/>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Heading4"/>
      </w:pPr>
      <w:bookmarkStart w:id="36" w:name="representation-graphique"/>
      <w:bookmarkEnd w:id="36"/>
      <w:r>
        <w:t xml:space="preserve">Représentation graphique</w:t>
      </w:r>
    </w:p>
    <w:p>
      <w:pPr>
        <w:pStyle w:val="Heading5"/>
      </w:pPr>
      <w:bookmarkStart w:id="37" w:name="diagramme-en-batons"/>
      <w:bookmarkEnd w:id="37"/>
      <w:r>
        <w:t xml:space="preserve">Diagramme en bâtons</w:t>
      </w:r>
    </w:p>
    <w:p>
      <w:pPr>
        <w:pStyle w:val="FirstParagraph"/>
      </w:pPr>
      <w:r>
        <w:t xml:space="preserve">Le diagramme en bâtons consiste à représenter en abcisse les différentes valeurs que peut prendre la variable que l’on étudie(</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BodyText"/>
      </w:pPr>
      <w:r>
        <w:t xml:space="preserve">La Figure 3.1.1 montre deux diagrammes en bâtons de notre distribution. Que ce soient les fréquences absolues ou les fréquences relatives importe peu en termes de formes de graphe. En revanche, l’information donnée est un petit peu différente: dans le premier cas, on peut dénombrer le nombre de ménages qui ont un nombre donné d’enfants, dans le second cas, on peut déterminer le pourcentage de ménages qui ont ce nombre d’enfants.</w:t>
      </w:r>
    </w:p>
    <w:p>
      <w:pPr>
        <w:pStyle w:val="BodyText"/>
      </w:pPr>
      <w:r>
        <w:t xml:space="preserve">Figure 3.1.1</w:t>
      </w:r>
      <w:r>
        <w:br w:type="textWrapping"/>
      </w:r>
      <w:r>
        <w:rPr>
          <w:i/>
        </w:rPr>
        <w:t xml:space="preserve">Diagramme en barre de la distribution de la Table 3.1.2</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39" w:name="diagramme-circulaire"/>
      <w:bookmarkEnd w:id="39"/>
      <w:r>
        <w:t xml:space="preserve">Diagramme circulaire</w:t>
      </w:r>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BodyText"/>
      </w:pPr>
      <w:r>
        <w:t xml:space="preserve">La Figure 3.1.2 montre deux diagrammes circulaires de notre distribution. De même que pour les diagrammes en bâtons, que ce soient les fréquences absolues ou les fréquences relatives importe peu en termes de formes de graphe, mais l’information donnée varie légèrement: dans le premier cas, on peut dénombrer le nombre de ménages qui ont un nombre donné d’enfants et dans le second cas, on peut déterminer le pourcentage de ménages qui ont ce nombre d’enfants.</w:t>
      </w:r>
    </w:p>
    <w:p>
      <w:pPr>
        <w:pStyle w:val="BodyText"/>
      </w:pPr>
      <w:r>
        <w:t xml:space="preserve">Figure 3.1.2</w:t>
      </w:r>
      <w:r>
        <w:t xml:space="preserve"> </w:t>
      </w:r>
      <w:r>
        <w:rPr>
          <w:i/>
        </w:rPr>
        <w:t xml:space="preserve">Diagramme circulaire de la distribution de la Table 3.1.2</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Déterminer l’angle pour chaque catégorie peut se faire en procédant à une règle de trois. Un cercle fait exactement 360° et doit représenter l’ensemble des individus constituant l’échantillon, soit</w:t>
      </w:r>
      <w:r>
        <w:t xml:space="preserve"> </w:t>
      </w:r>
      <w:r>
        <w:rPr>
          <w:rStyle w:val="VerbatimChar"/>
        </w:rPr>
        <w:t xml:space="preserve">length(data3.1_brut$id)</w:t>
      </w:r>
      <w:r>
        <w:t xml:space="preserve">. Ces 360° doivent être répartis entre les catégories, de manière proportionnelle à la fréquence de chaque catégorie. Par exemple, 14 ménages sont associés à la valeur</w:t>
      </w:r>
      <w:r>
        <w:t xml:space="preserve"> </w:t>
      </w:r>
      <m:oMath>
        <m:sSub>
          <m:e>
            <m:r>
              <m:t>x</m:t>
            </m:r>
          </m:e>
          <m:sub>
            <m:r>
              <m:t>j</m:t>
            </m:r>
          </m:sub>
        </m:sSub>
      </m:oMath>
      <w:r>
        <w:t xml:space="preserve"> </w:t>
      </w:r>
      <w:r>
        <w:t xml:space="preserve">= 1. Cela représente 35% de l’échantillon, l’angle correspondra donc à 35% des 360°.</w:t>
      </w:r>
    </w:p>
    <w:p>
      <w:pPr>
        <w:pStyle w:val="BodyText"/>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14</m:t>
          </m:r>
          <m:r>
            <m:t>→</m:t>
          </m:r>
          <m:f>
            <m:fPr>
              <m:type m:val="bar"/>
            </m:fPr>
            <m:num>
              <m:r>
                <m:t>360</m:t>
              </m:r>
              <m:r>
                <m:t>°</m:t>
              </m:r>
            </m:num>
            <m:den>
              <m:r>
                <m:t>40</m:t>
              </m:r>
            </m:den>
          </m:f>
          <m:r>
            <m:t>×</m:t>
          </m:r>
          <m:r>
            <m:t>14</m:t>
          </m:r>
          <m:r>
            <m:t>=</m:t>
          </m:r>
          <m:r>
            <m:t>126</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plutét que les fréquences absolues, fournit exactement le même résultat, à condition d’utiliser les valeurs exactes (non arrondies). La preuve:</w:t>
      </w:r>
    </w:p>
    <w:p>
      <w:pPr>
        <w:pStyle w:val="BodyText"/>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35</m:t>
          </m:r>
          <m:r>
            <m:t>%</m:t>
          </m:r>
          <m:r>
            <m:t>→</m:t>
          </m:r>
          <m:f>
            <m:fPr>
              <m:type m:val="bar"/>
            </m:fPr>
            <m:num>
              <m:r>
                <m:t>360</m:t>
              </m:r>
              <m:r>
                <m:t>°</m:t>
              </m:r>
            </m:num>
            <m:den>
              <m:r>
                <m:t>100</m:t>
              </m:r>
            </m:den>
          </m:f>
          <m:r>
            <m:t>×</m:t>
          </m:r>
          <m:r>
            <m:t>35</m:t>
          </m:r>
          <m:r>
            <m:t>=</m:t>
          </m:r>
          <m:r>
            <m:t>126</m:t>
          </m:r>
          <m:r>
            <m:t>°</m:t>
          </m:r>
        </m:oMath>
      </m:oMathPara>
    </w:p>
    <w:p>
      <w:pPr>
        <w:pStyle w:val="FirstParagraph"/>
      </w:pPr>
      <w:r>
        <w:t xml:space="preserve">Dans la mesure où les fréquences relatives contiendront parfois un nombre important (voire infini) de décimales, il est généralement plus facile de déterminer les angles de chaque part sur base des fréquences abolues plutôt que sur base des fréquences relatives. La Table 3.1.3 fournit les angles qui devraient être associés à chaque catégorie dans l’exemple de la Table 3.1.2:</w:t>
      </w:r>
    </w:p>
    <w:p>
      <w:pPr>
        <w:pStyle w:val="BodyText"/>
      </w:pPr>
      <w:r>
        <w:t xml:space="preserve">Table 3.1.3</w:t>
      </w:r>
      <w:r>
        <w:br w:type="textWrapping"/>
      </w:r>
      <w:r>
        <w:rPr>
          <w:i/>
        </w:rPr>
        <w:t xml:space="preserve">Angle de chaque part du diagramme circulaire représententant les données de la Table 3.1.2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BodyText"/>
      </w:pPr>
      <w:r>
        <w:t xml:space="preserve">Malheureusement, ce type de graphique présente de nombreux inconvénients en termes de communication. Entre autres, ils sont peu précis: lorsque deux catégories sont associées à des fréquences relativement similaires, il devient très difficile de repérer leur différence. Dans la Figure 3.1.2, les deux premières catégories semblent de taille égale, alors qu’elles ne le sont pas. Il est nettement plus aisé de le voir dans la Figure 3.1.1.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Heading5"/>
      </w:pPr>
      <w:bookmarkStart w:id="41" w:name="diagramme-en-escaliers"/>
      <w:bookmarkEnd w:id="41"/>
      <w:r>
        <w:t xml:space="preserve">Diagramme en escaliers</w:t>
      </w:r>
    </w:p>
    <w:p>
      <w:pPr>
        <w:pStyle w:val="FirstParagraph"/>
      </w:pPr>
      <w:r>
        <w:t xml:space="preserve">Figure 3.1.3</w:t>
      </w:r>
      <w:r>
        <w:br w:type="textWrapping"/>
      </w:r>
      <w:r>
        <w:rPr>
          <w:i/>
        </w:rPr>
        <w:t xml:space="preserve">Diagramme en escalier représentant les fréquences cumulées de la distribution de la Table 3.1.2</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variables-quantitatives-continues"/>
      <w:bookmarkEnd w:id="43"/>
      <w:r>
        <w:t xml:space="preserve">Variables quantitatives continues</w:t>
      </w:r>
    </w:p>
    <w:p>
      <w:pPr>
        <w:pStyle w:val="Heading4"/>
      </w:pPr>
      <w:bookmarkStart w:id="44" w:name="simplification-des-donnees"/>
      <w:bookmarkEnd w:id="44"/>
      <w:r>
        <w:t xml:space="preserve">Simplification des données</w:t>
      </w:r>
    </w:p>
    <w:p>
      <w:pPr>
        <w:pStyle w:val="FirstParagraph"/>
      </w:pPr>
      <w:r>
        <w:t xml:space="preserve">Dans la mesure où les variables</w:t>
      </w:r>
      <w:r>
        <w:t xml:space="preserve"> </w:t>
      </w:r>
      <w:r>
        <w:rPr>
          <w:b/>
          <w:i/>
        </w:rPr>
        <w:t xml:space="preserve">continues</w:t>
      </w:r>
      <w:r>
        <w:t xml:space="preserve">, il n’est pas possible d’associer une fréquence à chaque valeur possible de la variable, similairement à ce que l’on fait pour des variables discrètes. On procédera alors à des regroupements des valeurs en classes (d’amplitude à déterminer), et on déterminera les fréquences associées ces classes.</w:t>
      </w:r>
    </w:p>
    <w:p>
      <w:pPr>
        <w:pStyle w:val="BodyText"/>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BodyText"/>
      </w:pPr>
      <w:r>
        <w:t xml:space="preserve">Lorsque c’est possible, il est préférable d’utiliser des classes ayant toutes la même amplitude, tel que dans la Table 3.2.1 et la Table 3.3.1, notamment pour des raisons de lisibilité graphique. Cependant, il peut arriver que pour des raisons théoriques, nous soyons amenés à envisager des classes de tailles différentes. Par exemple, si l’on veut distinguer des caractéristiques de la petite enfance, enfance, adolescence, âge adulte et troisième âge, on pourra créer 5 classes: une regroupant les individus de 0 à 3 ans, de ceux de 3 à 12 ans , de 12 à 18 ans, 18 à 65 ans et de plus de 65 ans (voir la Table 3.3.2).</w:t>
      </w:r>
    </w:p>
    <w:p>
      <w:pPr>
        <w:pStyle w:val="BodyText"/>
      </w:pPr>
      <w:r>
        <w:t xml:space="preserve">Table 3.2.1</w:t>
      </w:r>
      <w:r>
        <w:br w:type="textWrapping"/>
      </w:r>
      <w:r>
        <w:rPr>
          <w:i/>
        </w:rPr>
        <w:t xml:space="preserve">Table des PIB par habitants de 45 pays d’Europe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BodyText"/>
      </w:pPr>
      <w:r>
        <w:t xml:space="preserve">Source:</w:t>
      </w:r>
      <w:r>
        <w:t xml:space="preserve"> </w:t>
      </w:r>
      <w:hyperlink r:id="rId45">
        <w:r>
          <w:rPr>
            <w:rStyle w:val="Hyperlink"/>
          </w:rPr>
          <w:t xml:space="preserve">https://fr.tradingeconomics.com/country-list/gdp-per-capitaécontinent=europe</w:t>
        </w:r>
      </w:hyperlink>
    </w:p>
    <w:p>
      <w:pPr>
        <w:pStyle w:val="BodyText"/>
      </w:pPr>
      <w:r>
        <w:t xml:space="preserve">Table 3.3.1</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BodyText"/>
      </w:pPr>
      <w:r>
        <w:t xml:space="preserve">Table 3.3.2</w:t>
      </w:r>
      <w:r>
        <w:br w:type="textWrapping"/>
      </w:r>
      <w:r>
        <w:rPr>
          <w:i/>
        </w:rPr>
        <w:t xml:space="preserve">Table de fréquence de catégories d’âges dans un échantillon de 20000 personnes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Heading4"/>
      </w:pPr>
      <w:bookmarkStart w:id="46" w:name="realisation-graphique"/>
      <w:bookmarkEnd w:id="46"/>
      <w:r>
        <w:t xml:space="preserve">Réalisation graphique</w:t>
      </w:r>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BodyText"/>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3.1.1 ainsi que dans la</w:t>
      </w:r>
      <w:r>
        <w:t xml:space="preserve"> </w:t>
      </w:r>
      <w:r>
        <w:rPr>
          <w:rStyle w:val="VerbatimChar"/>
        </w:rPr>
        <w:t xml:space="preserve">barplot_age_a</w:t>
      </w:r>
      <w:r>
        <w:t xml:space="preserve"> </w:t>
      </w:r>
      <w:r>
        <w:t xml:space="preserve">.</w:t>
      </w:r>
    </w:p>
    <w:p>
      <w:pPr>
        <w:pStyle w:val="BodyText"/>
      </w:pPr>
      <w:r>
        <w:t xml:space="preserve">Figure 3.2</w:t>
      </w:r>
      <w:r>
        <w:br w:type="textWrapping"/>
      </w:r>
      <w:r>
        <w:rPr>
          <w:i/>
        </w:rPr>
        <w:t xml:space="preserve">Histogramme de la distribution de la Table 3.2.1</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3.3.1</w:t>
      </w:r>
      <w:r>
        <w:br w:type="textWrapping"/>
      </w:r>
      <w:r>
        <w:rPr>
          <w:i/>
        </w:rPr>
        <w:t xml:space="preserve">Histogramme de la distribution de la Table 3.3.1</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BodyText"/>
      </w:pPr>
      <m:oMath>
        <m:sSub>
          <m:e>
            <m:r>
              <m:t>h</m:t>
            </m:r>
          </m:e>
          <m:sub>
            <m:r>
              <m:t>i</m:t>
            </m:r>
          </m:sub>
        </m:sSub>
        <m:r>
          <m:t>=</m:t>
        </m:r>
        <m:f>
          <m:fPr>
            <m:type m:val="bar"/>
          </m:fPr>
          <m:num>
            <m:sSub>
              <m:e>
                <m:r>
                  <m:t>n</m:t>
                </m:r>
              </m:e>
              <m:sub>
                <m:r>
                  <m:t>i</m:t>
                </m:r>
              </m:sub>
            </m:sSub>
          </m:num>
          <m:den>
            <m:sSub>
              <m:e>
                <m:r>
                  <m:t>a</m:t>
                </m:r>
              </m:e>
              <m:sub>
                <m:r>
                  <m:t>i</m:t>
                </m:r>
              </m:sub>
            </m:sSub>
          </m:den>
        </m:f>
      </m:oMath>
    </w:p>
    <w:p>
      <w:pPr>
        <w:pStyle w:val="BodyText"/>
      </w:pPr>
      <w:r>
        <w:t xml:space="preserve">Figure 3.3.2</w:t>
      </w:r>
      <w:r>
        <w:t xml:space="preserve"> </w:t>
      </w:r>
      <w:r>
        <w:rPr>
          <w:i/>
        </w:rPr>
        <w:t xml:space="preserve">Histogramme de la distribution de la Table 3.3.2</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RAJOUTER LES POLYGONES DES EFFECTIFS</w:t>
      </w:r>
    </w:p>
    <w:p>
      <w:pPr>
        <w:pStyle w:val="Heading4"/>
      </w:pPr>
      <w:bookmarkStart w:id="50" w:name="remarque-les-distributions"/>
      <w:bookmarkEnd w:id="50"/>
      <w:r>
        <w:t xml:space="preserve">Remarque: les distributions</w:t>
      </w:r>
    </w:p>
    <w:p>
      <w:pPr>
        <w:pStyle w:val="FirstParagraph"/>
      </w:pPr>
      <w:r>
        <w:t xml:space="preserve">Nous avons brièvement suggéré qu’en augmentant le nombre de classes (et donc en réduisant l’amplitude de chacune d’elles), on pouvait augmenter considérablement la précision de notre représentation des données.</w:t>
      </w:r>
      <w:r>
        <w:t xml:space="preserve"> </w:t>
      </w:r>
      <w:r>
        <w:t xml:space="preserve">A FAIRE, REPRODUIRE LE GRAPHIQUE DE L AGE AVEC CATEG HOMOGENES ET MONTRER QUE CA DEVIENT UNE DISTRIBUTION</w:t>
      </w:r>
    </w:p>
    <w:p>
      <w:pPr>
        <w:pStyle w:val="Heading3"/>
      </w:pPr>
      <w:bookmarkStart w:id="51" w:name="variables-qualitatives"/>
      <w:bookmarkEnd w:id="51"/>
      <w:r>
        <w:t xml:space="preserve">Variables qualitatives</w:t>
      </w:r>
    </w:p>
    <w:p>
      <w:pPr>
        <w:pStyle w:val="Heading4"/>
      </w:pPr>
      <w:bookmarkStart w:id="52" w:name="simplification-des-donnees-1"/>
      <w:bookmarkEnd w:id="52"/>
      <w:r>
        <w:t xml:space="preserve">Simplification des données</w:t>
      </w:r>
    </w:p>
    <w:p>
      <w:pPr>
        <w:pStyle w:val="FirstParagraph"/>
      </w:pPr>
      <w:r>
        <w:t xml:space="preserve">De même que pour les variables quantitatives discrètes, il est possible de réaliser une distribution de fréquence.</w:t>
      </w:r>
    </w:p>
    <w:p>
      <w:pPr>
        <w:pStyle w:val="BodyText"/>
      </w:pPr>
      <w:r>
        <w:t xml:space="preserve">Lorsqu’on représente des variables qualitatives ordinales, l’ordre d’apparition des classes dans la table est important. La table de fréquences sera très similaire à celle obtenue pour une variable quantitative discrète (voir la Table 3.5).</w:t>
      </w:r>
    </w:p>
    <w:p>
      <w:pPr>
        <w:pStyle w:val="BodyText"/>
      </w:pPr>
      <w:r>
        <w:t xml:space="preserve">Par contre pour les variables qualitatives nominales, ;l’ordre d’apparition des classes n’est aucune importance. Autrement dit, les classes pourront être représentées dans n’importe quel ordre sans altérer le contenu informatif de la représentation. Dans la Table 3.4, on spécifie pour un échantillon de 150 personnes, leur nationalité, sachant que tous proviennent de l’un de trois pays suivants: la Belgique, la France et l’Espagne. Deux tables de fréquences ont été réalisées: dans la première, les trois pays apparaissent dans l’ordre pré-cité, et dans la deuxième, l’ordre de présentation a changé. Les deux choix sont parfaitement valables (puisque l’ordre d’apparition des catégories est totalement arbitraire).</w:t>
      </w:r>
    </w:p>
    <w:p>
      <w:pPr>
        <w:pStyle w:val="BodyText"/>
      </w:pPr>
      <w:r>
        <w:t xml:space="preserve">AJOUTER LES TABLES table3.4_brut et table3.5_brut</w:t>
      </w:r>
    </w:p>
    <w:p>
      <w:pPr>
        <w:pStyle w:val="Heading4"/>
      </w:pPr>
      <w:bookmarkStart w:id="53" w:name="realisation-graphique-1"/>
      <w:bookmarkEnd w:id="53"/>
      <w:r>
        <w:t xml:space="preserve">Réalisation graphique</w:t>
      </w:r>
    </w:p>
    <w:p>
      <w:pPr>
        <w:pStyle w:val="FirstParagraph"/>
      </w:pPr>
      <w:r>
        <w:t xml:space="preserve">Le diagramme en barres peut aussi être appliqué, mais pourra se présenter différemment que pour les variables quantitatives. Cette fois, l’axe des x ne sera plus normé (une unité n’aura pas obligatoirement une dimension constante et la largeur des bâtons importera peu, même si pour le confort des yeux, on les gardera généralement uniformes).</w:t>
      </w:r>
    </w:p>
    <w:p>
      <w:pPr>
        <w:pStyle w:val="BodyText"/>
      </w:pPr>
      <w:r>
        <w:t xml:space="preserve">Lorsqu’on représente des variables qualitatives ordinales, l’ordre des classes est important, par contre pour les variables qualitatives nominales, il ne l’est pas. Autrement dit, les barres pourront apparaêtre dans n’importe quel ordre sans altérer le contenu informatif de la représentation.</w:t>
      </w:r>
    </w:p>
    <w:p>
      <w:pPr>
        <w:pStyle w:val="Heading2"/>
      </w:pPr>
      <w:bookmarkStart w:id="54" w:name="les-graphiques-construits-sur-base-des-quantiles"/>
      <w:bookmarkEnd w:id="54"/>
      <w:r>
        <w:t xml:space="preserve">Les graphiques construits sur base des quantiles</w:t>
      </w:r>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aux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BodyText"/>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BodyText"/>
      </w:pPr>
      <w:r>
        <w:t xml:space="preserve">Bien que le principe soit identique quel que soit le quantile envisagé, nous ne développerons que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Heading3"/>
      </w:pPr>
      <w:bookmarkStart w:id="55" w:name="variables-quantitatives-discretes-1"/>
      <w:bookmarkEnd w:id="55"/>
      <w:r>
        <w:t xml:space="preserve">Variables quantitatives discrètes</w:t>
      </w:r>
    </w:p>
    <w:p>
      <w:pPr>
        <w:pStyle w:val="Heading4"/>
      </w:pPr>
      <w:bookmarkStart w:id="56" w:name="simplification-des-donnees-calcul-de-la-mediane-et-des-quartiles"/>
      <w:bookmarkEnd w:id="56"/>
      <w:r>
        <w:t xml:space="preserve">Simplification des données: calcul de la médiane et des quartiles</w:t>
      </w:r>
    </w:p>
    <w:p>
      <w:pPr>
        <w:pStyle w:val="Heading5"/>
      </w:pPr>
      <w:bookmarkStart w:id="57" w:name="au-depart-de-donnees-brutes"/>
      <w:bookmarkEnd w:id="57"/>
      <w:r>
        <w:t xml:space="preserve">Au départ de données brutes</w:t>
      </w:r>
    </w:p>
    <w:p>
      <w:pPr>
        <w:pStyle w:val="FirstParagraph"/>
      </w:pPr>
      <w:r>
        <w:t xml:space="preserve">Soit une série statistique contenant un nombre impair de sujets (n=9):</w:t>
      </w:r>
    </w:p>
    <w:p>
      <w:pPr>
        <w:pStyle w:val="BodyText"/>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va consister à déterminer une valeur telle qu’il y ait la moitié des observations de la série dont la valeur lui est inférieure, et l’autre moitié dont la valeur lui est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BodyText"/>
      </w:pPr>
      <w:r>
        <w:t xml:space="preserve">Voici la série ordonnée:</w:t>
      </w:r>
    </w:p>
    <w:p>
      <w:pPr>
        <w:pStyle w:val="BodyText"/>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BodyText"/>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BodyText"/>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BodyText"/>
      </w:pPr>
      <w:r>
        <w:t xml:space="preserve">Soit une autre série statistique, contenant cette fois un nombre pair de sujets (n=10):</w:t>
      </w:r>
    </w:p>
    <w:p>
      <w:pPr>
        <w:pStyle w:val="BodyText"/>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BodyText"/>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p>
    <w:p>
      <w:pPr>
        <w:pStyle w:val="BodyText"/>
      </w:pP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BodyText"/>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r>
        <w:t xml:space="preserve"> </w:t>
      </w:r>
      <w:r>
        <w:t xml:space="preserve">Dans ce cas, étant donné que le rang médian vaut 5.5, la médiane sera la moyenne entre 8 et 8, soit 8.</w:t>
      </w:r>
    </w:p>
    <w:p>
      <w:pPr>
        <w:pStyle w:val="BodyText"/>
      </w:pPr>
      <w:r>
        <w:t xml:space="preserve">La valeur du premier quartile d’une série sera celle qui est telle que si l’on s’intéresse exclusivemenet aux valeurs à gauche de la médiane, la moitié des observations sélectionnées lui est inférieure et l’autre moitié lui est supérieure. Similairement, la valeur du troisième quartile sera celle qui est telle que si l’on s’intéresse exclusivement aux valeurs à droite de la médiane, la moitié des observations sélectionnées lui est inférieure et l’autre moitié lui est supérieure.</w:t>
      </w:r>
    </w:p>
    <w:p>
      <w:pPr>
        <w:pStyle w:val="BodyText"/>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BodyText"/>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BodyText"/>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Heading5"/>
      </w:pPr>
      <w:bookmarkStart w:id="58" w:name="au-depart-de-tableaux-de-frequences"/>
      <w:bookmarkEnd w:id="58"/>
      <w:r>
        <w:t xml:space="preserve">Au départ de tableaux de fréquences</w:t>
      </w:r>
    </w:p>
    <w:p>
      <w:pPr>
        <w:pStyle w:val="FirstParagraph"/>
      </w:pPr>
      <w:r>
        <w:t xml:space="preserve">La Table 3.6.1 est le tableau de fréquence des données de la série 1.</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BodyText"/>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w:t>
      </w:r>
    </w:p>
    <w:p>
      <w:pPr>
        <w:pStyle w:val="BodyText"/>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3.6.3 est le tableau de fréquence des données de la série 3.</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BodyText"/>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BodyText"/>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3.6.2 est le tableau de fréquence des données de la série 2.</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BodyText"/>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de la valeur que nous avions trouvé.</w:t>
      </w:r>
    </w:p>
    <w:p>
      <w:pPr>
        <w:pStyle w:val="BodyText"/>
      </w:pPr>
      <w:r>
        <w:t xml:space="preserve">La valeur des premier et troisième quartiles correspondent aux premières lignes de fréquences cumulées qui dépassent respectivement .25 et .75, soit 6 et 13.</w:t>
      </w:r>
    </w:p>
    <w:p>
      <w:pPr>
        <w:pStyle w:val="Heading4"/>
      </w:pPr>
      <w:bookmarkStart w:id="59" w:name="realisation-graphique-le-boxplot-appelee-egalement-boite-a-moustaches"/>
      <w:bookmarkEnd w:id="59"/>
      <w:r>
        <w:t xml:space="preserve">Réalisation graphique: le boxplot (appelée également</w:t>
      </w:r>
      <w:r>
        <w:t xml:space="preserve"> </w:t>
      </w:r>
      <w:r>
        <w:t xml:space="preserve">“</w:t>
      </w:r>
      <w:r>
        <w:t xml:space="preserve">boîte à moustaches</w:t>
      </w:r>
      <w:r>
        <w:t xml:space="preserve">”</w:t>
      </w:r>
      <w:r>
        <w:t xml:space="preserve">)</w:t>
      </w:r>
    </w:p>
    <w:p>
      <w:pPr>
        <w:pStyle w:val="FirstParagraph"/>
      </w:pPr>
      <w:r>
        <w:t xml:space="preserve">Table 3.7</w:t>
      </w:r>
      <w:r>
        <w:br w:type="textWrapping"/>
      </w:r>
      <w:r>
        <w:rPr>
          <w:i/>
        </w:rPr>
        <w:t xml:space="preserve">Tableau de fréquence d’une série de données discrètes</w:t>
      </w:r>
    </w:p>
    <w:tbl>
      <w:tblPr>
        <w:tblStyle w:val="TableNormal"/>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BodyText"/>
      </w:pPr>
      <w:r>
        <w:t xml:space="preserve">La Figure 3.4 est une représentation graphique des données de la Table 3.7.</w:t>
      </w:r>
    </w:p>
    <w:p>
      <w:pPr>
        <w:pStyle w:val="BodyText"/>
      </w:pPr>
      <w:r>
        <w:t xml:space="preserve">Figure 3.4</w:t>
      </w:r>
      <w:r>
        <w:br w:type="textWrapping"/>
      </w:r>
      <w:r>
        <w:rPr>
          <w:i/>
        </w:rPr>
        <w:t xml:space="preserve">Boîte à moustache représentant les données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BodyText"/>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w:t>
      </w:r>
    </w:p>
    <w:p>
      <w:pPr>
        <w:pStyle w:val="BodyText"/>
      </w:pPr>
      <w:r>
        <w:t xml:space="preserve">La barre à l’intérieur de la boîte représente la</w:t>
      </w:r>
      <w:r>
        <w:t xml:space="preserve"> </w:t>
      </w:r>
      <w:r>
        <w:rPr>
          <w:b/>
        </w:rPr>
        <w:t xml:space="preserve">médiane</w:t>
      </w:r>
      <w:r>
        <w:t xml:space="preserve"> </w:t>
      </w:r>
      <w:r>
        <w:t xml:space="preserve">(valant 5 dans l’exemple de la Table 3.7). La position de la médiane à l’intérieur de la boîte indique le degré de symétrie ou d’asymétrie de la portion centrale de la distribution.</w:t>
      </w:r>
    </w:p>
    <w:p>
      <w:pPr>
        <w:pStyle w:val="BodyText"/>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BodyText"/>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w:t>
      </w:r>
    </w:p>
    <w:p>
      <w:pPr>
        <w:pStyle w:val="BodyText"/>
      </w:pPr>
      <w:r>
        <w:t xml:space="preserve">Le boxplot est une représentation qui permet relativement aisément de se représenter mentalement l’allure d’une distribution (est-elle symétrique ou asymétrique?) et qui sert surtout à mettre en évidence des valeurs qui semblent anormalement élevées ou basses compte tenu de la distribution que l’on étudie.</w:t>
      </w:r>
    </w:p>
    <w:p>
      <w:pPr>
        <w:pStyle w:val="Heading3"/>
      </w:pPr>
      <w:bookmarkStart w:id="61" w:name="variables-quantitatives-continues-1"/>
      <w:bookmarkEnd w:id="61"/>
      <w:r>
        <w:t xml:space="preserve">Variables quantitatives continues</w:t>
      </w:r>
    </w:p>
    <w:p>
      <w:pPr>
        <w:pStyle w:val="Heading4"/>
      </w:pPr>
      <w:bookmarkStart w:id="62" w:name="simplification-des-donnees-calcul-de-la-mediane-et-des-quartiles-1"/>
      <w:bookmarkEnd w:id="62"/>
      <w:r>
        <w:t xml:space="preserve">Simplification des données: calcul de la médiane et des quartiles</w:t>
      </w:r>
    </w:p>
    <w:p>
      <w:pPr>
        <w:pStyle w:val="Heading5"/>
      </w:pPr>
      <w:bookmarkStart w:id="63" w:name="au-depart-de-donnees-brutes-1"/>
      <w:bookmarkEnd w:id="63"/>
      <w:r>
        <w:t xml:space="preserve">Au départ de données brutes</w:t>
      </w:r>
    </w:p>
    <w:p>
      <w:pPr>
        <w:pStyle w:val="Heading5"/>
      </w:pPr>
      <w:bookmarkStart w:id="64" w:name="au-depart-de-tableaux-de-frequences-1"/>
      <w:bookmarkEnd w:id="64"/>
      <w:r>
        <w:t xml:space="preserve">Au départ de tableaux de fréquences</w:t>
      </w:r>
    </w:p>
    <w:p>
      <w:pPr>
        <w:pStyle w:val="Heading4"/>
      </w:pPr>
      <w:bookmarkStart w:id="65" w:name="realisation-graphique-le-boxplot"/>
      <w:bookmarkEnd w:id="65"/>
      <w:r>
        <w:t xml:space="preserve">Réalisation graphique: le boxplot</w:t>
      </w:r>
    </w:p>
    <w:p>
      <w:pPr>
        <w:pStyle w:val="Heading1"/>
      </w:pPr>
      <w:bookmarkStart w:id="66" w:name="chapitre-4-exploration-algebrique-des-donnees-a-une-dimension"/>
      <w:bookmarkEnd w:id="66"/>
      <w:r>
        <w:t xml:space="preserve">Chapitre 4: exploration algébrique des données à une dimension</w:t>
      </w:r>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1"/>
          <w:ilvl w:val="0"/>
        </w:numPr>
      </w:pPr>
      <w:r>
        <w:t xml:space="preserve">Les mesures de</w:t>
      </w:r>
      <w:r>
        <w:t xml:space="preserve"> </w:t>
      </w:r>
      <w:r>
        <w:rPr>
          <w:b/>
        </w:rPr>
        <w:t xml:space="preserve">tendance centrale</w:t>
      </w:r>
      <w:r>
        <w:t xml:space="preserve">:mesure qui permet de représenter au mieux un ensemble données par une valeur unique</w:t>
      </w:r>
    </w:p>
    <w:p>
      <w:pPr>
        <w:pStyle w:val="Compact"/>
        <w:numPr>
          <w:numId w:val="1011"/>
          <w:ilvl w:val="0"/>
        </w:numPr>
      </w:pPr>
      <w:r>
        <w:t xml:space="preserve">Les mesures de</w:t>
      </w:r>
      <w:r>
        <w:t xml:space="preserve"> </w:t>
      </w:r>
      <w:r>
        <w:rPr>
          <w:b/>
        </w:rPr>
        <w:t xml:space="preserve">dispersion</w:t>
      </w:r>
      <w:r>
        <w:t xml:space="preserve">: mesure du degré auquel les données s’éloignent de la tendance centrale</w:t>
      </w:r>
    </w:p>
    <w:p>
      <w:pPr>
        <w:pStyle w:val="Compact"/>
        <w:numPr>
          <w:numId w:val="1011"/>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Heading2"/>
      </w:pPr>
      <w:bookmarkStart w:id="67" w:name="mesures-de-tendance-centrale"/>
      <w:bookmarkEnd w:id="67"/>
      <w:r>
        <w:t xml:space="preserve">Mesures de tendance centrale</w:t>
      </w:r>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BodyText"/>
      </w:pPr>
      <w:r>
        <w:t xml:space="preserve">Table 4.1</w:t>
      </w:r>
      <w:r>
        <w:br w:type="textWrapping"/>
      </w:r>
      <w:r>
        <w:rPr>
          <w:i/>
        </w:rPr>
        <w:t xml:space="preserve">Extrait de la Table 1.1 : ancienneté de 15 employés</w:t>
      </w:r>
    </w:p>
    <w:p>
      <w:pPr>
        <w:pStyle w:val="BodyText"/>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BodyText"/>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BodyText"/>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prenre la variable Y).</w:t>
      </w:r>
    </w:p>
    <w:p>
      <w:pPr>
        <w:pStyle w:val="Heading3"/>
      </w:pPr>
      <w:bookmarkStart w:id="68" w:name="mode"/>
      <w:bookmarkEnd w:id="68"/>
      <w:r>
        <w:t xml:space="preserve">Mode</w:t>
      </w:r>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BodyText"/>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BodyText"/>
      </w:pPr>
      <w:r>
        <w:t xml:space="preserve">Table 4.2</w:t>
      </w:r>
      <w:r>
        <w:br w:type="textWrapping"/>
      </w:r>
      <w:r>
        <w:rPr>
          <w:i/>
        </w:rPr>
        <w:t xml:space="preserve">Extrait de la Table 1.1 : âge 15 employés</w:t>
      </w:r>
    </w:p>
    <w:p>
      <w:pPr>
        <w:pStyle w:val="BodyText"/>
      </w:pPr>
      <w:r>
        <w:rPr>
          <w:b/>
          <w:i/>
        </w:rPr>
        <w:t xml:space="preserve">(a) Données brutes</w:t>
      </w:r>
    </w:p>
    <w:tbl>
      <w:tblPr>
        <w:tblStyle w:val="TableNormal"/>
        <w:tblW w:type="pct" w:w="0.0"/>
        <w:tblLook/>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BodyText"/>
      </w:pPr>
      <w:r>
        <w:rPr>
          <w:b/>
          <w:i/>
        </w:rPr>
        <w:t xml:space="preserve">(b) Tableau de fréquence</w:t>
      </w:r>
    </w:p>
    <w:tbl>
      <w:tblPr>
        <w:tblStyle w:val="TableNormal"/>
        <w:tblW w:type="pct" w:w="0.0"/>
        <w:tblLook/>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bl>
    <w:p>
      <w:pPr>
        <w:pStyle w:val="BodyText"/>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Ca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Heading3"/>
      </w:pPr>
      <w:bookmarkStart w:id="69" w:name="moyenne"/>
      <w:bookmarkEnd w:id="69"/>
      <w:r>
        <w:t xml:space="preserve">Moyenne</w:t>
      </w:r>
    </w:p>
    <w:p>
      <w:pPr>
        <w:pStyle w:val="FirstParagraph"/>
      </w:pPr>
      <w:r>
        <w:t xml:space="preserve">Lorsqu’on parle de moyenne statistique, on entend toujours (à notre niveau) la moyenne arithmétique. Si l’on part des données brutes, la moyenne arithmétique peut se calculer en prenant la somme des valeurs de la variable dont on veut calculer la moyenne, et en divisant cette somme par le nombre de valeurs qui constituent cette somme.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BodyText"/>
      </w:pPr>
      <w:r>
        <w:rPr>
          <w:b/>
        </w:rPr>
        <w:t xml:space="preserve">Formule de la moyenne arithmétique calculée à partir des données brutes de l’ancienneté</w:t>
      </w:r>
      <w:r>
        <w:rPr>
          <w:b/>
        </w:rPr>
        <w:t xml:space="preserve"> </w:t>
      </w:r>
    </w:p>
    <w:p>
      <w:pPr>
        <w:pStyle w:val="BodyText"/>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BodyText"/>
      </w:pPr>
      <w:r>
        <w:rPr>
          <w:b/>
        </w:rPr>
        <w:t xml:space="preserve">Formule de la moyenne arithmétique calculée à partir d’un tableau de fréquence</w:t>
      </w:r>
    </w:p>
    <w:p>
      <w:pPr>
        <w:pStyle w:val="BodyText"/>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BodyText"/>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BodyText"/>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Appliquées à l’ancienneté fournie dans la table Table 4.1, on obtient ceci:</w:t>
      </w:r>
    </w:p>
    <w:p>
      <w:pPr>
        <w:pStyle w:val="BodyText"/>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BodyText"/>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BodyText"/>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BodyText"/>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et heureusement!Il s’agit de trois manières différentes de calculer la même chose.</w:t>
      </w:r>
    </w:p>
    <w:p>
      <w:pPr>
        <w:pStyle w:val="BodyText"/>
      </w:pPr>
      <w:r>
        <w:t xml:space="preserve">La moyenne présente plusieurs inconvénients.</w:t>
      </w:r>
    </w:p>
    <w:p>
      <w:pPr>
        <w:pStyle w:val="BodyText"/>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BodyText"/>
      </w:pPr>
      <w:r>
        <w:t xml:space="preserve">Deuxièmement, si l’on travaille avec des distributions asymétriques ou multimodales, la moyenne ne les représentera pas correctement.Imaginons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BodyText"/>
      </w:pPr>
      <w:r>
        <w:t xml:space="preserve">Nous voyons bien à quel point il est important d’étudier la forme d’une distribution avant de déterminer des valeurs algébriques.</w:t>
      </w:r>
    </w:p>
    <w:p>
      <w:pPr>
        <w:pStyle w:val="Heading3"/>
      </w:pPr>
      <w:bookmarkStart w:id="70" w:name="mediane"/>
      <w:bookmarkEnd w:id="70"/>
      <w:r>
        <w:t xml:space="preserve">Médiane</w:t>
      </w:r>
    </w:p>
    <w:p>
      <w:pPr>
        <w:pStyle w:val="Heading2"/>
      </w:pPr>
      <w:bookmarkStart w:id="71" w:name="mesures-de-dispersion"/>
      <w:bookmarkEnd w:id="71"/>
      <w:r>
        <w:t xml:space="preserve">Mesures de dispersion</w:t>
      </w:r>
    </w:p>
    <w:p>
      <w:pPr>
        <w:pStyle w:val="Heading2"/>
      </w:pPr>
      <w:bookmarkStart w:id="72" w:name="mesures-dasymetrie-et-daplatissement"/>
      <w:bookmarkEnd w:id="72"/>
      <w:r>
        <w:t xml:space="preserve">Mesures d’asymétrie et d’aplatissement</w:t>
      </w:r>
    </w:p>
    <w:p>
      <w:pPr>
        <w:pStyle w:val="Heading1"/>
      </w:pPr>
      <w:bookmarkStart w:id="73" w:name="chapitre-5-les-distributions-binomiales-et-normales"/>
      <w:bookmarkEnd w:id="73"/>
      <w:r>
        <w:t xml:space="preserve">Chapitre 5: les distributions binomiales et normales</w:t>
      </w:r>
    </w:p>
    <w:p>
      <w:pPr>
        <w:pStyle w:val="Heading1"/>
      </w:pPr>
      <w:bookmarkStart w:id="74" w:name="references"/>
      <w:bookmarkEnd w:id="74"/>
      <w:r>
        <w:t xml:space="preserve">Références</w:t>
      </w:r>
    </w:p>
    <w:p>
      <w:pPr>
        <w:pStyle w:val="FirstParagraph"/>
      </w:pPr>
      <w:r>
        <w:t xml:space="preserve">Labreuche, J. (2010). Les différents types de variables, leurs représentations graphiques et paramêtres descriptifs. Sang Thrombose Vaisseaux, 22(10), 536-543.</w:t>
      </w:r>
    </w:p>
    <w:p>
      <w:pPr>
        <w:pStyle w:val="BodyText"/>
      </w:pPr>
      <w:r>
        <w:t xml:space="preserve">Syllabus de Christophe</w:t>
      </w:r>
    </w:p>
    <w:p>
      <w:pPr>
        <w:pStyle w:val="BodyText"/>
      </w:pPr>
      <w:r>
        <w:t xml:space="preserve">Séminaire de Christian Ritter sur les graphiques</w:t>
      </w:r>
    </w:p>
    <w:p>
      <w:pPr>
        <w:pStyle w:val="BodyText"/>
      </w:pPr>
      <w:r>
        <w:t xml:space="preserve">–&gt; Il est possible via Rmarkdown de générer une biblio mais je ne sais pas encore le faire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d3af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5223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88877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40" Target="media/rId40.png" /><Relationship Type="http://schemas.openxmlformats.org/officeDocument/2006/relationships/hyperlink" Id="rId45"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45"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dcterms:created xsi:type="dcterms:W3CDTF">2018-10-08T16:20:10Z</dcterms:created>
  <dcterms:modified xsi:type="dcterms:W3CDTF">2018-10-08T16:20:10Z</dcterms:modified>
</cp:coreProperties>
</file>