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2.png" ContentType="image/png"/>
  <Override PartName="/word/media/rId66.png" ContentType="image/png"/>
  <Override PartName="/word/media/rId58.png" ContentType="image/png"/>
  <Override PartName="/word/media/rId60.png" ContentType="image/png"/>
  <Override PartName="/word/media/rId47.png" ContentType="image/png"/>
  <Override PartName="/word/media/rId39.png" ContentType="image/png"/>
  <Override PartName="/word/media/rId51.png" ContentType="image/png"/>
  <Override PartName="/word/media/rId73.png" ContentType="image/png"/>
  <Override PartName="/word/media/rId64.png" ContentType="image/png"/>
  <Override PartName="/word/media/rId78.png" ContentType="image/png"/>
  <Override PartName="/word/media/rId49.png" ContentType="image/png"/>
  <Override PartName="/word/media/rId41.png" ContentType="image/png"/>
  <Override PartName="/word/media/rId62.png" ContentType="image/png"/>
  <Override PartName="/word/media/rId61.png" ContentType="image/png"/>
  <Override PartName="/word/media/rId86.png" ContentType="image/png"/>
  <Override PartName="/word/media/rId93.png" ContentType="image/png"/>
  <Override PartName="/word/media/rId95.png" ContentType="image/png"/>
  <Override PartName="/word/media/rId9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Statistiques</w:t>
      </w:r>
    </w:p>
    <w:p>
      <w:pPr>
        <w:pStyle w:val="Author"/>
      </w:pPr>
      <w:r>
        <w:t xml:space="preserve">Marie</w:t>
      </w:r>
      <w:r>
        <w:t xml:space="preserve"> </w:t>
      </w:r>
      <w:r>
        <w:t xml:space="preserve">Delacre</w:t>
      </w:r>
    </w:p>
    <w:p>
      <w:pPr>
        <w:pStyle w:val="Titre6"/>
      </w:pPr>
      <w:bookmarkStart w:id="21" w:name="pagebreak"/>
      <w:bookmarkEnd w:id="21"/>
      <w:r>
        <w:t xml:space="preserve">Pagebreak</w:t>
      </w:r>
    </w:p>
    <w:p>
      <w:pPr>
        <w:pStyle w:val="Titre1"/>
      </w:pPr>
      <w:bookmarkStart w:id="22" w:name="chapitre-1-quest-ce-que-la-statistique-et-a-quoi-sert-elle"/>
      <w:bookmarkEnd w:id="22"/>
      <w:r>
        <w:t xml:space="preserve">Chapitre 1: qu’est-ce que la statistique, et à quoi sert-elle?</w:t>
      </w:r>
    </w:p>
    <w:p>
      <w:pPr>
        <w:pStyle w:val="Titre2"/>
      </w:pPr>
      <w:bookmarkStart w:id="23" w:name="quest-ce-que-la-statistique"/>
      <w:bookmarkEnd w:id="23"/>
      <w:r>
        <w:t xml:space="preserve">Qu’est-ce que la statistique?</w:t>
      </w:r>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Titre3"/>
      </w:pPr>
      <w:bookmarkStart w:id="24" w:name="la-recolte-des-donnees-les-concepts-de-population-individus-et-echantillons"/>
      <w:bookmarkEnd w:id="24"/>
      <w:r>
        <w:t xml:space="preserve">La récolte des données: les concepts de population, individus et échantillons</w:t>
      </w:r>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 cette population sont appelés</w:t>
      </w:r>
      <w:r>
        <w:t xml:space="preserve"> </w:t>
      </w:r>
      <w:r>
        <w:rPr>
          <w:b/>
        </w:rPr>
        <w:t xml:space="preserve">individus</w:t>
      </w:r>
      <w:r>
        <w:t xml:space="preserve"> </w:t>
      </w:r>
      <w:r>
        <w:t xml:space="preserve">ou</w:t>
      </w:r>
      <w:r>
        <w:t xml:space="preserve"> </w:t>
      </w:r>
      <w:r>
        <w:rPr>
          <w:b/>
        </w:rPr>
        <w:t xml:space="preserve">unité statistique</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Corpsdetexte"/>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Corpsdetexte"/>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mêtre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Titre3"/>
      </w:pPr>
      <w:bookmarkStart w:id="25" w:name="le-traitement-des-donnees-appelee-egalement-la-statistique-descriptive"/>
      <w:bookmarkEnd w:id="25"/>
      <w:r>
        <w:t xml:space="preserve">Le traitement des données, appelée également la statistique descriptive</w:t>
      </w:r>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Titre6"/>
      </w:pPr>
      <w:bookmarkStart w:id="26" w:name="pagebreak-1"/>
      <w:bookmarkEnd w:id="26"/>
      <w:r>
        <w:t xml:space="preserve">Pagebreak</w:t>
      </w:r>
    </w:p>
    <w:p>
      <w:pPr>
        <w:pStyle w:val="FirstParagraph"/>
      </w:pPr>
      <w:r>
        <w:t xml:space="preserve">Table 1.1</w:t>
      </w:r>
      <w:r>
        <w:br w:type="textWrapping"/>
      </w:r>
      <w:r>
        <w:rPr>
          <w:i/>
        </w:rPr>
        <w:t xml:space="preserve">Données socio-démographiques récoltées auprès de 15 employés du secteur automobile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genre (</w:t>
            </w:r>
            <m:oMath>
              <m:sSub>
                <m:e>
                  <m:r>
                    <m:t>W</m:t>
                  </m:r>
                </m:e>
                <m:sub>
                  <m:r>
                    <m:t>i</m:t>
                  </m:r>
                </m:sub>
              </m:sSub>
            </m:oMath>
            <w:r>
              <w:t xml:space="preserve">)</w:t>
            </w:r>
          </w:p>
        </w:tc>
        <w:tc>
          <w:tcPr>
            <w:tcBorders>
              <w:bottom w:val="single"/>
            </w:tcBorders>
            <w:vAlign w:val="bottom"/>
          </w:tcPr>
          <w:p>
            <w:pPr>
              <w:pStyle w:val="Compact"/>
              <w:jc w:val="center"/>
            </w:pPr>
            <w:r>
              <w:t xml:space="preserve">âge (</w:t>
            </w:r>
            <m:oMath>
              <m:sSub>
                <m:e>
                  <m:r>
                    <m:t>X</m:t>
                  </m:r>
                </m:e>
                <m:sub>
                  <m:r>
                    <m:t>i</m:t>
                  </m:r>
                </m:sub>
              </m:sSub>
            </m:oMath>
            <w:r>
              <w:t xml:space="preserve">)</w:t>
            </w:r>
          </w:p>
        </w:tc>
        <w:tc>
          <w:tcPr>
            <w:tcBorders>
              <w:bottom w:val="single"/>
            </w:tcBorders>
            <w:vAlign w:val="bottom"/>
          </w:tcPr>
          <w:p>
            <w:pPr>
              <w:pStyle w:val="Compact"/>
              <w:jc w:val="center"/>
            </w:pPr>
            <w:r>
              <w:t xml:space="preserve">anciennete (</w:t>
            </w:r>
            <m:oMath>
              <m:sSub>
                <m:e>
                  <m:r>
                    <m:t>Y</m:t>
                  </m:r>
                </m:e>
                <m:sub>
                  <m:r>
                    <m:t>i</m:t>
                  </m:r>
                </m:sub>
              </m:sSub>
            </m:oMath>
            <w:r>
              <w:t xml:space="preserve">)</w:t>
            </w:r>
          </w:p>
        </w:tc>
        <w:tc>
          <w:tcPr>
            <w:tcBorders>
              <w:bottom w:val="single"/>
            </w:tcBorders>
            <w:vAlign w:val="bottom"/>
          </w:tcPr>
          <w:p>
            <w:pPr>
              <w:pStyle w:val="Compact"/>
              <w:jc w:val="center"/>
            </w:pPr>
            <w:r>
              <w:t xml:space="preserve">langue (</w:t>
            </w:r>
            <m:oMath>
              <m:sSub>
                <m:e>
                  <m:r>
                    <m:t>Z</m:t>
                  </m:r>
                </m:e>
                <m:sub>
                  <m:r>
                    <m:t>i</m:t>
                  </m:r>
                </m:sub>
              </m:sSub>
            </m:oMath>
            <w:r>
              <w:t xml:space="preserve">)</w:t>
            </w:r>
          </w:p>
        </w:tc>
      </w:tr>
      <w:tr>
        <w:tc>
          <w:p>
            <w:pPr>
              <w:pStyle w:val="Compact"/>
              <w:jc w:val="center"/>
            </w:pPr>
            <w:r>
              <w:t xml:space="preserve">1</w:t>
            </w:r>
          </w:p>
        </w:tc>
        <w:tc>
          <w:p>
            <w:pPr>
              <w:pStyle w:val="Compact"/>
              <w:jc w:val="center"/>
            </w:pPr>
            <w:r>
              <w:t xml:space="preserve">masculin</w:t>
            </w:r>
          </w:p>
        </w:tc>
        <w:tc>
          <w:p>
            <w:pPr>
              <w:pStyle w:val="Compact"/>
              <w:jc w:val="center"/>
            </w:pPr>
            <w:r>
              <w:t xml:space="preserve">19</w:t>
            </w:r>
          </w:p>
        </w:tc>
        <w:tc>
          <w:p>
            <w:pPr>
              <w:pStyle w:val="Compact"/>
              <w:jc w:val="center"/>
            </w:pPr>
            <w:r>
              <w:t xml:space="preserve">1</w:t>
            </w:r>
          </w:p>
        </w:tc>
        <w:tc>
          <w:p>
            <w:pPr>
              <w:pStyle w:val="Compact"/>
              <w:jc w:val="center"/>
            </w:pPr>
            <w:r>
              <w:t xml:space="preserve">allemand</w:t>
            </w:r>
          </w:p>
        </w:tc>
      </w:tr>
      <w:tr>
        <w:tc>
          <w:p>
            <w:pPr>
              <w:pStyle w:val="Compact"/>
              <w:jc w:val="center"/>
            </w:pPr>
            <w:r>
              <w:t xml:space="preserve">2</w:t>
            </w:r>
          </w:p>
        </w:tc>
        <w:tc>
          <w:p>
            <w:pPr>
              <w:pStyle w:val="Compact"/>
              <w:jc w:val="center"/>
            </w:pPr>
            <w:r>
              <w:t xml:space="preserve">masculin</w:t>
            </w:r>
          </w:p>
        </w:tc>
        <w:tc>
          <w:p>
            <w:pPr>
              <w:pStyle w:val="Compact"/>
              <w:jc w:val="center"/>
            </w:pPr>
            <w:r>
              <w:t xml:space="preserve">25</w:t>
            </w:r>
          </w:p>
        </w:tc>
        <w:tc>
          <w:p>
            <w:pPr>
              <w:pStyle w:val="Compact"/>
              <w:jc w:val="center"/>
            </w:pPr>
            <w:r>
              <w:t xml:space="preserve">5</w:t>
            </w:r>
          </w:p>
        </w:tc>
        <w:tc>
          <w:p>
            <w:pPr>
              <w:pStyle w:val="Compact"/>
              <w:jc w:val="center"/>
            </w:pPr>
            <w:r>
              <w:t xml:space="preserve">français</w:t>
            </w:r>
          </w:p>
        </w:tc>
      </w:tr>
      <w:tr>
        <w:tc>
          <w:p>
            <w:pPr>
              <w:pStyle w:val="Compact"/>
              <w:jc w:val="center"/>
            </w:pPr>
            <w:r>
              <w:t xml:space="preserve">3</w:t>
            </w:r>
          </w:p>
        </w:tc>
        <w:tc>
          <w:p>
            <w:pPr>
              <w:pStyle w:val="Compact"/>
              <w:jc w:val="center"/>
            </w:pPr>
            <w:r>
              <w:t xml:space="preserve">féminin</w:t>
            </w:r>
          </w:p>
        </w:tc>
        <w:tc>
          <w:p>
            <w:pPr>
              <w:pStyle w:val="Compact"/>
              <w:jc w:val="center"/>
            </w:pPr>
            <w:r>
              <w:t xml:space="preserve">21</w:t>
            </w:r>
          </w:p>
        </w:tc>
        <w:tc>
          <w:p>
            <w:pPr>
              <w:pStyle w:val="Compact"/>
              <w:jc w:val="center"/>
            </w:pPr>
            <w:r>
              <w:t xml:space="preserve">2</w:t>
            </w:r>
          </w:p>
        </w:tc>
        <w:tc>
          <w:p>
            <w:pPr>
              <w:pStyle w:val="Compact"/>
              <w:jc w:val="center"/>
            </w:pPr>
            <w:r>
              <w:t xml:space="preserve">français</w:t>
            </w:r>
          </w:p>
        </w:tc>
      </w:tr>
      <w:tr>
        <w:tc>
          <w:p>
            <w:pPr>
              <w:pStyle w:val="Compact"/>
              <w:jc w:val="center"/>
            </w:pPr>
            <w:r>
              <w:t xml:space="preserve">4</w:t>
            </w:r>
          </w:p>
        </w:tc>
        <w:tc>
          <w:p>
            <w:pPr>
              <w:pStyle w:val="Compact"/>
              <w:jc w:val="center"/>
            </w:pPr>
            <w:r>
              <w:t xml:space="preserve">masculin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5</w:t>
            </w:r>
          </w:p>
        </w:tc>
        <w:tc>
          <w:p>
            <w:pPr>
              <w:pStyle w:val="Compact"/>
              <w:jc w:val="center"/>
            </w:pPr>
            <w:r>
              <w:t xml:space="preserve">masculin</w:t>
            </w:r>
          </w:p>
        </w:tc>
        <w:tc>
          <w:p>
            <w:pPr>
              <w:pStyle w:val="Compact"/>
              <w:jc w:val="center"/>
            </w:pPr>
            <w:r>
              <w:t xml:space="preserve">30</w:t>
            </w:r>
          </w:p>
        </w:tc>
        <w:tc>
          <w:p>
            <w:pPr>
              <w:pStyle w:val="Compact"/>
              <w:jc w:val="center"/>
            </w:pPr>
            <w:r>
              <w:t xml:space="preserve">8</w:t>
            </w:r>
          </w:p>
        </w:tc>
        <w:tc>
          <w:p>
            <w:pPr>
              <w:pStyle w:val="Compact"/>
              <w:jc w:val="center"/>
            </w:pPr>
            <w:r>
              <w:t xml:space="preserve">français</w:t>
            </w:r>
          </w:p>
        </w:tc>
      </w:tr>
      <w:tr>
        <w:tc>
          <w:p>
            <w:pPr>
              <w:pStyle w:val="Compact"/>
              <w:jc w:val="center"/>
            </w:pPr>
            <w:r>
              <w:t xml:space="preserve">6</w:t>
            </w:r>
          </w:p>
        </w:tc>
        <w:tc>
          <w:p>
            <w:pPr>
              <w:pStyle w:val="Compact"/>
              <w:jc w:val="center"/>
            </w:pPr>
            <w:r>
              <w:t xml:space="preserve">masculin</w:t>
            </w:r>
          </w:p>
        </w:tc>
        <w:tc>
          <w:p>
            <w:pPr>
              <w:pStyle w:val="Compact"/>
              <w:jc w:val="center"/>
            </w:pPr>
            <w:r>
              <w:t xml:space="preserve">32</w:t>
            </w:r>
          </w:p>
        </w:tc>
        <w:tc>
          <w:p>
            <w:pPr>
              <w:pStyle w:val="Compact"/>
              <w:jc w:val="center"/>
            </w:pPr>
            <w:r>
              <w:t xml:space="preserve">9</w:t>
            </w:r>
          </w:p>
        </w:tc>
        <w:tc>
          <w:p>
            <w:pPr>
              <w:pStyle w:val="Compact"/>
              <w:jc w:val="center"/>
            </w:pPr>
            <w:r>
              <w:t xml:space="preserve">néerlandais</w:t>
            </w:r>
          </w:p>
        </w:tc>
      </w:tr>
      <w:tr>
        <w:tc>
          <w:p>
            <w:pPr>
              <w:pStyle w:val="Compact"/>
              <w:jc w:val="center"/>
            </w:pPr>
            <w:r>
              <w:t xml:space="preserve">7</w:t>
            </w:r>
          </w:p>
        </w:tc>
        <w:tc>
          <w:p>
            <w:pPr>
              <w:pStyle w:val="Compact"/>
              <w:jc w:val="center"/>
            </w:pPr>
            <w:r>
              <w:t xml:space="preserve">féminin</w:t>
            </w:r>
          </w:p>
        </w:tc>
        <w:tc>
          <w:p>
            <w:pPr>
              <w:pStyle w:val="Compact"/>
              <w:jc w:val="center"/>
            </w:pPr>
            <w:r>
              <w:t xml:space="preserve">30</w:t>
            </w:r>
          </w:p>
        </w:tc>
        <w:tc>
          <w:p>
            <w:pPr>
              <w:pStyle w:val="Compact"/>
              <w:jc w:val="center"/>
            </w:pPr>
            <w:r>
              <w:t xml:space="preserve">9</w:t>
            </w:r>
          </w:p>
        </w:tc>
        <w:tc>
          <w:p>
            <w:pPr>
              <w:pStyle w:val="Compact"/>
              <w:jc w:val="center"/>
            </w:pPr>
            <w:r>
              <w:t xml:space="preserve">allemand</w:t>
            </w:r>
          </w:p>
        </w:tc>
      </w:tr>
      <w:tr>
        <w:tc>
          <w:p>
            <w:pPr>
              <w:pStyle w:val="Compact"/>
              <w:jc w:val="center"/>
            </w:pPr>
            <w:r>
              <w:t xml:space="preserve">8</w:t>
            </w:r>
          </w:p>
        </w:tc>
        <w:tc>
          <w:p>
            <w:pPr>
              <w:pStyle w:val="Compact"/>
              <w:jc w:val="center"/>
            </w:pPr>
            <w:r>
              <w:t xml:space="preserve">féminin</w:t>
            </w:r>
          </w:p>
        </w:tc>
        <w:tc>
          <w:p>
            <w:pPr>
              <w:pStyle w:val="Compact"/>
              <w:jc w:val="center"/>
            </w:pPr>
            <w:r>
              <w:t xml:space="preserve">19</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9</w:t>
            </w:r>
          </w:p>
        </w:tc>
        <w:tc>
          <w:p>
            <w:pPr>
              <w:pStyle w:val="Compact"/>
              <w:jc w:val="center"/>
            </w:pPr>
            <w:r>
              <w:t xml:space="preserve">féminin</w:t>
            </w:r>
          </w:p>
        </w:tc>
        <w:tc>
          <w:p>
            <w:pPr>
              <w:pStyle w:val="Compact"/>
              <w:jc w:val="center"/>
            </w:pPr>
            <w:r>
              <w:t xml:space="preserve">21</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10</w:t>
            </w:r>
          </w:p>
        </w:tc>
        <w:tc>
          <w:p>
            <w:pPr>
              <w:pStyle w:val="Compact"/>
              <w:jc w:val="center"/>
            </w:pPr>
            <w:r>
              <w:t xml:space="preserve">masculin</w:t>
            </w:r>
          </w:p>
        </w:tc>
        <w:tc>
          <w:p>
            <w:pPr>
              <w:pStyle w:val="Compact"/>
              <w:jc w:val="center"/>
            </w:pPr>
            <w:r>
              <w:t xml:space="preserve">21</w:t>
            </w:r>
          </w:p>
        </w:tc>
        <w:tc>
          <w:p>
            <w:pPr>
              <w:pStyle w:val="Compact"/>
              <w:jc w:val="center"/>
            </w:pPr>
            <w:r>
              <w:t xml:space="preserve">1</w:t>
            </w:r>
          </w:p>
        </w:tc>
        <w:tc>
          <w:p>
            <w:pPr>
              <w:pStyle w:val="Compact"/>
              <w:jc w:val="center"/>
            </w:pPr>
            <w:r>
              <w:t xml:space="preserve">français</w:t>
            </w:r>
          </w:p>
        </w:tc>
      </w:tr>
      <w:tr>
        <w:tc>
          <w:p>
            <w:pPr>
              <w:pStyle w:val="Compact"/>
              <w:jc w:val="center"/>
            </w:pPr>
            <w:r>
              <w:t xml:space="preserve">11</w:t>
            </w:r>
          </w:p>
        </w:tc>
        <w:tc>
          <w:p>
            <w:pPr>
              <w:pStyle w:val="Compact"/>
              <w:jc w:val="center"/>
            </w:pPr>
            <w:r>
              <w:t xml:space="preserve">masculin</w:t>
            </w:r>
          </w:p>
        </w:tc>
        <w:tc>
          <w:p>
            <w:pPr>
              <w:pStyle w:val="Compact"/>
              <w:jc w:val="center"/>
            </w:pPr>
            <w:r>
              <w:t xml:space="preserve">24</w:t>
            </w:r>
          </w:p>
        </w:tc>
        <w:tc>
          <w:p>
            <w:pPr>
              <w:pStyle w:val="Compact"/>
              <w:jc w:val="center"/>
            </w:pPr>
            <w:r>
              <w:t xml:space="preserve">8</w:t>
            </w:r>
          </w:p>
        </w:tc>
        <w:tc>
          <w:p>
            <w:pPr>
              <w:pStyle w:val="Compact"/>
              <w:jc w:val="center"/>
            </w:pPr>
            <w:r>
              <w:t xml:space="preserve">français</w:t>
            </w:r>
          </w:p>
        </w:tc>
      </w:tr>
      <w:tr>
        <w:tc>
          <w:p>
            <w:pPr>
              <w:pStyle w:val="Compact"/>
              <w:jc w:val="center"/>
            </w:pPr>
            <w:r>
              <w:t xml:space="preserve">12</w:t>
            </w:r>
          </w:p>
        </w:tc>
        <w:tc>
          <w:p>
            <w:pPr>
              <w:pStyle w:val="Compact"/>
              <w:jc w:val="center"/>
            </w:pPr>
            <w:r>
              <w:t xml:space="preserve">féminin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13</w:t>
            </w:r>
          </w:p>
        </w:tc>
        <w:tc>
          <w:p>
            <w:pPr>
              <w:pStyle w:val="Compact"/>
              <w:jc w:val="center"/>
            </w:pPr>
            <w:r>
              <w:t xml:space="preserve">féminin</w:t>
            </w:r>
          </w:p>
        </w:tc>
        <w:tc>
          <w:p>
            <w:pPr>
              <w:pStyle w:val="Compact"/>
              <w:jc w:val="center"/>
            </w:pPr>
            <w:r>
              <w:t xml:space="preserve">26</w:t>
            </w:r>
          </w:p>
        </w:tc>
        <w:tc>
          <w:p>
            <w:pPr>
              <w:pStyle w:val="Compact"/>
              <w:jc w:val="center"/>
            </w:pPr>
            <w:r>
              <w:t xml:space="preserve">7</w:t>
            </w:r>
          </w:p>
        </w:tc>
        <w:tc>
          <w:p>
            <w:pPr>
              <w:pStyle w:val="Compact"/>
              <w:jc w:val="center"/>
            </w:pPr>
            <w:r>
              <w:t xml:space="preserve">néerlandais</w:t>
            </w:r>
          </w:p>
        </w:tc>
      </w:tr>
      <w:tr>
        <w:tc>
          <w:p>
            <w:pPr>
              <w:pStyle w:val="Compact"/>
              <w:jc w:val="center"/>
            </w:pPr>
            <w:r>
              <w:t xml:space="preserve">14</w:t>
            </w:r>
          </w:p>
        </w:tc>
        <w:tc>
          <w:p>
            <w:pPr>
              <w:pStyle w:val="Compact"/>
              <w:jc w:val="center"/>
            </w:pPr>
            <w:r>
              <w:t xml:space="preserve">masculin</w:t>
            </w:r>
          </w:p>
        </w:tc>
        <w:tc>
          <w:p>
            <w:pPr>
              <w:pStyle w:val="Compact"/>
              <w:jc w:val="center"/>
            </w:pPr>
            <w:r>
              <w:t xml:space="preserve">30</w:t>
            </w:r>
          </w:p>
        </w:tc>
        <w:tc>
          <w:p>
            <w:pPr>
              <w:pStyle w:val="Compact"/>
              <w:jc w:val="center"/>
            </w:pPr>
            <w:r>
              <w:t xml:space="preserve">10</w:t>
            </w:r>
          </w:p>
        </w:tc>
        <w:tc>
          <w:p>
            <w:pPr>
              <w:pStyle w:val="Compact"/>
              <w:jc w:val="center"/>
            </w:pPr>
            <w:r>
              <w:t xml:space="preserve">néerlandais</w:t>
            </w:r>
          </w:p>
        </w:tc>
      </w:tr>
      <w:tr>
        <w:tc>
          <w:p>
            <w:pPr>
              <w:pStyle w:val="Compact"/>
              <w:jc w:val="center"/>
            </w:pPr>
            <w:r>
              <w:t xml:space="preserve">15</w:t>
            </w:r>
          </w:p>
        </w:tc>
        <w:tc>
          <w:p>
            <w:pPr>
              <w:pStyle w:val="Compact"/>
              <w:jc w:val="center"/>
            </w:pPr>
            <w:r>
              <w:t xml:space="preserve">féminin</w:t>
            </w:r>
          </w:p>
        </w:tc>
        <w:tc>
          <w:p>
            <w:pPr>
              <w:pStyle w:val="Compact"/>
              <w:jc w:val="center"/>
            </w:pPr>
            <w:r>
              <w:t xml:space="preserve">26</w:t>
            </w:r>
          </w:p>
        </w:tc>
        <w:tc>
          <w:p>
            <w:pPr>
              <w:pStyle w:val="Compact"/>
              <w:jc w:val="center"/>
            </w:pPr>
            <w:r>
              <w:t xml:space="preserve">8</w:t>
            </w:r>
          </w:p>
        </w:tc>
        <w:tc>
          <w:p>
            <w:pPr>
              <w:pStyle w:val="Compact"/>
              <w:jc w:val="center"/>
            </w:pPr>
            <w:r>
              <w:t xml:space="preserve">néerlandais</w:t>
            </w:r>
          </w:p>
        </w:tc>
      </w:tr>
    </w:tbl>
    <w:p>
      <w:pPr>
        <w:pStyle w:val="Corpsdetexte"/>
      </w:pPr>
      <w: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w:t>
      </w:r>
      <w:r>
        <w:t xml:space="preserve"> </w:t>
      </w:r>
      <w:r>
        <w:rPr>
          <w:i/>
        </w:rPr>
        <w:t xml:space="preserve">i</w:t>
      </w:r>
      <w:r>
        <w:t xml:space="preserve"> </w:t>
      </w:r>
      <w:r>
        <w:t xml:space="preserve">pour se référer à un individu quelconque de l’échantillon. On symbolise par</w:t>
      </w:r>
      <w:r>
        <w:t xml:space="preserve"> </w:t>
      </w:r>
      <m:oMath>
        <m:sSub>
          <m:e>
            <m:r>
              <m:t>X</m:t>
            </m:r>
          </m:e>
          <m:sub>
            <m:r>
              <m:t>i</m:t>
            </m:r>
          </m:sub>
        </m:sSub>
      </m:oMath>
      <w:r>
        <w:t xml:space="preserve"> </w:t>
      </w:r>
      <w:r>
        <w:t xml:space="preserve">(X indicé i) la valeur d’un individu i sur la variable X, par</w:t>
      </w:r>
      <w:r>
        <w:t xml:space="preserve"> </w:t>
      </w:r>
      <m:oMath>
        <m:sSub>
          <m:e>
            <m:r>
              <m:t>Y</m:t>
            </m:r>
          </m:e>
          <m:sub>
            <m:r>
              <m:t>i</m:t>
            </m:r>
          </m:sub>
        </m:sSub>
      </m:oMath>
      <w:r>
        <w:t xml:space="preserve"> </w:t>
      </w:r>
      <w:r>
        <w:t xml:space="preserve">(Y indicé i) la valeur d’un individu i sur la variable Y, etc. Par exemple, l’ancienneté du 3ème employé de l’échantillon est symbolisée par</w:t>
      </w:r>
      <w:r>
        <w:t xml:space="preserve"> </w:t>
      </w:r>
      <m:oMath>
        <m:sSub>
          <m:e>
            <m:r>
              <m:t>Y</m:t>
            </m:r>
          </m:e>
          <m:sub>
            <m:r>
              <m:t>3</m:t>
            </m:r>
          </m:sub>
        </m:sSub>
      </m:oMath>
      <w:r>
        <w:t xml:space="preserve"> </w:t>
      </w:r>
      <w:r>
        <w:t xml:space="preserve">= 2, l’âge du</w:t>
      </w:r>
      <w:r>
        <w:t xml:space="preserve"> </w:t>
      </w:r>
      <w:r>
        <w:t xml:space="preserve">8ème employé de l’échantillon est symbolisée par</w:t>
      </w:r>
      <w:r>
        <w:t xml:space="preserve"> </w:t>
      </w:r>
      <m:oMath>
        <m:sSub>
          <m:e>
            <m:r>
              <m:t>X</m:t>
            </m:r>
          </m:e>
          <m:sub>
            <m:r>
              <m:t>8</m:t>
            </m:r>
          </m:sub>
        </m:sSub>
      </m:oMath>
      <w:r>
        <w:t xml:space="preserve">=19, etc. Gardez tout cela à l’esprit pour la suite de ce cours!</w:t>
      </w:r>
      <w:r>
        <w:t xml:space="preserve"> </w:t>
      </w:r>
      <w:r>
        <w:t xml:space="preserve">Les données brutes sont généralement peu parlantes en elles-mêmes. Afin de pouvoir faire passer un message à travers ces données, il sera nécessaire de les simplifier, de les résumer. C’est l’objectif de la</w:t>
      </w:r>
      <w:r>
        <w:t xml:space="preserve"> </w:t>
      </w:r>
      <w:r>
        <w:rPr>
          <w:b/>
        </w:rPr>
        <w:t xml:space="preserve">statistique descriptive</w:t>
      </w:r>
      <w:r>
        <w:t xml:space="preserve">.</w:t>
      </w:r>
    </w:p>
    <w:p>
      <w:pPr>
        <w:pStyle w:val="Corpsdetexte"/>
      </w:pPr>
      <w:r>
        <w:t xml:space="preserve">L’une des manières de présenter avantageusement les données est de se centrer sur une approche visuelle, soit la réalisation de graphique. Cela fera l’objet du chapitre 3. Au 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pPr>
        <w:pStyle w:val="Corpsdetexte"/>
      </w:pPr>
      <w:r>
        <w:t xml:space="preserve">Nous avons déjà évoqué le fait que la</w:t>
      </w:r>
      <w:r>
        <w:t xml:space="preserve"> </w:t>
      </w:r>
      <w:r>
        <w:rPr>
          <w:i/>
        </w:rPr>
        <w:t xml:space="preserve">nature</w:t>
      </w:r>
      <w:r>
        <w:t xml:space="preserve"> </w:t>
      </w:r>
      <w:r>
        <w:t xml:space="preserve">des variables en jeu aura des implications sur les possibilités d’analyses. Le choix des représentations graphiques et des résumés algébriques que l’on pourra réaliser à l’aide des données dépendront de cette nature!</w:t>
      </w:r>
    </w:p>
    <w:p>
      <w:pPr>
        <w:pStyle w:val="Titre3"/>
      </w:pPr>
      <w:bookmarkStart w:id="27" w:name="linterpretation-des-donnees-appelee-egalement-la-statistique-inferentielle"/>
      <w:bookmarkEnd w:id="27"/>
      <w:r>
        <w:t xml:space="preserve">L’interprétation des données, appelée également la statistique inférentielle</w:t>
      </w:r>
    </w:p>
    <w:p>
      <w:pPr>
        <w:pStyle w:val="FirstParagraph"/>
      </w:pPr>
      <w: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recquiert de faire de la</w:t>
      </w:r>
      <w:r>
        <w:t xml:space="preserve"> </w:t>
      </w:r>
      <w:r>
        <w:rPr>
          <w:b/>
        </w:rPr>
        <w:t xml:space="preserve">statistique inférentielle</w:t>
      </w:r>
      <w:r>
        <w:t xml:space="preserve">. Cette forme de statistique ne fait pas partie des objectifs de ce cours. Sachez cependant qu’elle existe.</w:t>
      </w:r>
    </w:p>
    <w:p>
      <w:pPr>
        <w:pStyle w:val="Titre6"/>
      </w:pPr>
      <w:bookmarkStart w:id="28" w:name="pagebreak-2"/>
      <w:bookmarkEnd w:id="28"/>
      <w:r>
        <w:t xml:space="preserve">Pagebreak</w:t>
      </w:r>
    </w:p>
    <w:p>
      <w:pPr>
        <w:pStyle w:val="Titre1"/>
      </w:pPr>
      <w:bookmarkStart w:id="29" w:name="chapitre-2-mesure-des-variables"/>
      <w:bookmarkEnd w:id="29"/>
      <w:r>
        <w:t xml:space="preserve">Chapitre 2: mesure des variables</w:t>
      </w:r>
    </w:p>
    <w:p>
      <w:pPr>
        <w:pStyle w:val="FirstParagraph"/>
      </w:pPr>
      <w:r>
        <w:t xml:space="preserve">Mesurer une variable correspond à attribuer un code, le plus souvent chiffré, à chaque individu. Le nom</w:t>
      </w:r>
      <w:r>
        <w:t xml:space="preserve"> </w:t>
      </w:r>
      <w:r>
        <w:t xml:space="preserve">“</w:t>
      </w:r>
      <w:r>
        <w:t xml:space="preserve">variable</w:t>
      </w:r>
      <w:r>
        <w:t xml:space="preserve">”</w:t>
      </w:r>
      <w:r>
        <w:t xml:space="preserve"> </w:t>
      </w:r>
      <w:r>
        <w:t xml:space="preserve">vient du fait que ce code peut varier d’un individu à l’autre, chaque code possible étant appelé une</w:t>
      </w:r>
      <w:r>
        <w:t xml:space="preserve"> </w:t>
      </w:r>
      <w:r>
        <w:rPr>
          <w:b/>
        </w:rPr>
        <w:t xml:space="preserve">modalité</w:t>
      </w:r>
      <w:r>
        <w:t xml:space="preserve"> </w:t>
      </w:r>
      <w:r>
        <w:t xml:space="preserve">de la variable.</w:t>
      </w:r>
    </w:p>
    <w:p>
      <w:pPr>
        <w:pStyle w:val="Corpsdetexte"/>
      </w:pPr>
      <w:r>
        <w:t xml:space="preserve">Nous distinguerons les variables</w:t>
      </w:r>
      <w:r>
        <w:t xml:space="preserve"> </w:t>
      </w:r>
      <w:r>
        <w:rPr>
          <w:b/>
        </w:rPr>
        <w:t xml:space="preserve">qualitatives</w:t>
      </w:r>
      <w:r>
        <w:t xml:space="preserve"> </w:t>
      </w:r>
      <w:r>
        <w:t xml:space="preserve">et les variables</w:t>
      </w:r>
      <w:r>
        <w:t xml:space="preserve"> </w:t>
      </w:r>
      <w:r>
        <w:rPr>
          <w:b/>
        </w:rPr>
        <w:t xml:space="preserve">quantitatives</w:t>
      </w:r>
      <w:r>
        <w:t xml:space="preserve">.</w:t>
      </w:r>
    </w:p>
    <w:p>
      <w:pPr>
        <w:pStyle w:val="Titre3"/>
      </w:pPr>
      <w:bookmarkStart w:id="30" w:name="les-variables-qualitatives"/>
      <w:bookmarkEnd w:id="30"/>
      <w:r>
        <w:t xml:space="preserve">Les variables qualitatives</w:t>
      </w:r>
    </w:p>
    <w:p>
      <w:pPr>
        <w:pStyle w:val="FirstParagraph"/>
      </w:pPr>
      <w:r>
        <w:t xml:space="preserve">Les variables</w:t>
      </w:r>
      <w:r>
        <w:t xml:space="preserve"> </w:t>
      </w:r>
      <w:r>
        <w:rPr>
          <w:b/>
        </w:rPr>
        <w:t xml:space="preserve">qualitatives</w:t>
      </w:r>
      <w:r>
        <w:t xml:space="preserve"> </w:t>
      </w:r>
      <w:r>
        <w:t xml:space="preserve">sont les variables qui permettent de distinguer les individus sur base de la catégorie à laquelle ils appartiennent.</w:t>
      </w:r>
    </w:p>
    <w:p>
      <w:pPr>
        <w:pStyle w:val="Corpsdetexte"/>
      </w:pPr>
      <w:r>
        <w:t xml:space="preserve">On parle de variables</w:t>
      </w:r>
      <w:r>
        <w:t xml:space="preserve"> </w:t>
      </w:r>
      <w:r>
        <w:rPr>
          <w:b/>
          <w:i/>
        </w:rPr>
        <w:t xml:space="preserve">nominales</w:t>
      </w:r>
      <w:r>
        <w:t xml:space="preserve"> </w:t>
      </w:r>
      <w:r>
        <w:t xml:space="preserve">lorsqu’il n’est pas possible d’établir un ordre logique croissant ou décroissant entre les modalités de la variable qualitative. Par exemple, la variable</w:t>
      </w:r>
      <w:r>
        <w:t xml:space="preserve"> </w:t>
      </w:r>
      <w:r>
        <w:t xml:space="preserve">“</w:t>
      </w:r>
      <w:r>
        <w:t xml:space="preserve">genre</w:t>
      </w:r>
      <w:r>
        <w:t xml:space="preserve">”</w:t>
      </w:r>
      <w:r>
        <w:t xml:space="preserve">, qui permet de distinguer les hommes des femmes, est de type nominal.</w:t>
      </w:r>
    </w:p>
    <w:p>
      <w:pPr>
        <w:pStyle w:val="Corpsdetexte"/>
      </w:pPr>
      <w:r>
        <w:t xml:space="preserve">Bien qu’on leur attribue parfois des codes numériques, effectuer des opérations algébriques sur les valeurs de ces variables n’aurait pas de sens. Si je conviens arbitrairement d’attribuer le code</w:t>
      </w:r>
      <w:r>
        <w:t xml:space="preserve"> </w:t>
      </w:r>
      <w:r>
        <w:t xml:space="preserve">“</w:t>
      </w:r>
      <w:r>
        <w:t xml:space="preserve">1</w:t>
      </w:r>
      <w:r>
        <w:t xml:space="preserve">”</w:t>
      </w:r>
      <w:r>
        <w:t xml:space="preserve"> </w:t>
      </w:r>
      <w:r>
        <w:t xml:space="preserve">à tous les individus du genre masculin, et le code</w:t>
      </w:r>
      <w:r>
        <w:t xml:space="preserve"> </w:t>
      </w:r>
      <w:r>
        <w:t xml:space="preserve">“</w:t>
      </w:r>
      <w:r>
        <w:t xml:space="preserve">2</w:t>
      </w:r>
      <w:r>
        <w:t xml:space="preserve">”</w:t>
      </w:r>
      <w:r>
        <w:t xml:space="preserve"> </w:t>
      </w:r>
      <w:r>
        <w:t xml:space="preserve">à tous les individus du genre féminin, je ne fais qu’établir une convention sans aucun sens mathématique. Je pourrais tout aussi bien décider que le genre féminin soit codé</w:t>
      </w:r>
      <w:r>
        <w:t xml:space="preserve"> </w:t>
      </w:r>
      <w:r>
        <w:t xml:space="preserve">“</w:t>
      </w:r>
      <w:r>
        <w:t xml:space="preserve">1</w:t>
      </w:r>
      <w:r>
        <w:t xml:space="preserve">”</w:t>
      </w:r>
      <w:r>
        <w:t xml:space="preserve"> </w:t>
      </w:r>
      <w:r>
        <w:t xml:space="preserve">et que le genre masculin soit codé</w:t>
      </w:r>
      <w:r>
        <w:t xml:space="preserve"> </w:t>
      </w:r>
      <w:r>
        <w:t xml:space="preserve">“</w:t>
      </w:r>
      <w:r>
        <w:t xml:space="preserve">4</w:t>
      </w:r>
      <w:r>
        <w:t xml:space="preserve">”</w:t>
      </w:r>
      <w:r>
        <w:t xml:space="preserve">. Il n’y a aucun lien arithmétique entre ces classes. La valeur</w:t>
      </w:r>
      <w:r>
        <w:t xml:space="preserve"> </w:t>
      </w:r>
      <w:r>
        <w:t xml:space="preserve">“</w:t>
      </w:r>
      <w:r>
        <w:t xml:space="preserve">2</w:t>
      </w:r>
      <w:r>
        <w:t xml:space="preserve">”</w:t>
      </w:r>
      <w:r>
        <w:t xml:space="preserve"> </w:t>
      </w:r>
      <w:r>
        <w:t xml:space="preserve">n’a par exemple pas le statut de</w:t>
      </w:r>
      <w:r>
        <w:t xml:space="preserve"> </w:t>
      </w:r>
      <w:r>
        <w:t xml:space="preserve">“</w:t>
      </w:r>
      <w:r>
        <w:t xml:space="preserve">double de la valeur 1</w:t>
      </w:r>
      <w:r>
        <w:t xml:space="preserve">”</w:t>
      </w:r>
      <w:r>
        <w:t xml:space="preserve">, elle n’est même pas</w:t>
      </w:r>
      <w:r>
        <w:t xml:space="preserve"> </w:t>
      </w:r>
      <w:r>
        <w:t xml:space="preserve">“</w:t>
      </w:r>
      <w:r>
        <w:t xml:space="preserve">plus grande que la valeur 1</w:t>
      </w:r>
      <w:r>
        <w:t xml:space="preserve">”</w:t>
      </w:r>
      <w:r>
        <w:t xml:space="preserve">, elle est juste différente qualitativement.</w:t>
      </w:r>
    </w:p>
    <w:p>
      <w:pPr>
        <w:pStyle w:val="Corpsdetexte"/>
      </w:pPr>
      <w:r>
        <w:t xml:space="preserve">On parle de variables</w:t>
      </w:r>
      <w:r>
        <w:t xml:space="preserve"> </w:t>
      </w:r>
      <w:r>
        <w:rPr>
          <w:b/>
          <w:i/>
        </w:rPr>
        <w:t xml:space="preserve">ordinales</w:t>
      </w:r>
      <w:r>
        <w:t xml:space="preserve"> </w:t>
      </w:r>
      <w:r>
        <w:t xml:space="preserve">lorsqu’il est possible d’établir un ordre logique croissant ou décroissant entre les modalités de la variable qualitative. Par exemple, une variable</w:t>
      </w:r>
      <w:r>
        <w:t xml:space="preserve"> </w:t>
      </w:r>
      <w:r>
        <w:t xml:space="preserve">“</w:t>
      </w:r>
      <w:r>
        <w:t xml:space="preserve">taille</w:t>
      </w:r>
      <w:r>
        <w:t xml:space="preserve">”</w:t>
      </w:r>
      <w:r>
        <w:t xml:space="preserve"> </w:t>
      </w:r>
      <w:r>
        <w:t xml:space="preserve">qui permet de distinguer trois groupes d’enfants suivant qu’ils soient petits, moyens ou grand est de type ordinal, dans la mesure où l’on sait que les grands sont plus grands que les moyens, étant eux-mêmes plus grands que les petits.</w:t>
      </w:r>
    </w:p>
    <w:p>
      <w:pPr>
        <w:pStyle w:val="Corpsdetexte"/>
      </w:pPr>
      <w:r>
        <w:t xml:space="preserve">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w:t>
      </w:r>
      <w:r>
        <w:t xml:space="preserve"> </w:t>
      </w:r>
      <w:r>
        <w:t xml:space="preserve">“</w:t>
      </w:r>
      <w:r>
        <w:t xml:space="preserve">1</w:t>
      </w:r>
      <w:r>
        <w:t xml:space="preserve">”</w:t>
      </w:r>
      <w:r>
        <w:t xml:space="preserve"> </w:t>
      </w:r>
      <w:r>
        <w:t xml:space="preserve">aux petits,</w:t>
      </w:r>
      <w:r>
        <w:t xml:space="preserve"> </w:t>
      </w:r>
      <w:r>
        <w:t xml:space="preserve">“</w:t>
      </w:r>
      <w:r>
        <w:t xml:space="preserve">2</w:t>
      </w:r>
      <w:r>
        <w:t xml:space="preserve">”</w:t>
      </w:r>
      <w:r>
        <w:t xml:space="preserve"> </w:t>
      </w:r>
      <w:r>
        <w:t xml:space="preserve">aux moyens et</w:t>
      </w:r>
      <w:r>
        <w:t xml:space="preserve"> </w:t>
      </w:r>
      <w:r>
        <w:t xml:space="preserve">“</w:t>
      </w:r>
      <w:r>
        <w:t xml:space="preserve">3</w:t>
      </w:r>
      <w:r>
        <w:t xml:space="preserve">”</w:t>
      </w:r>
      <w:r>
        <w:t xml:space="preserve"> </w:t>
      </w:r>
      <w:r>
        <w:t xml:space="preserve">aux grands. Pourtant, il n’est toujours pas possible d’effectuer des opérations algébriques sur les valeurs de ces variables. En effet, si l’on peut déduire rapidement sur base des codes qu’un enfant ayant la valeur</w:t>
      </w:r>
      <w:r>
        <w:t xml:space="preserve"> </w:t>
      </w:r>
      <w:r>
        <w:t xml:space="preserve">“</w:t>
      </w:r>
      <w:r>
        <w:t xml:space="preserve">3</w:t>
      </w:r>
      <w:r>
        <w:t xml:space="preserve">”</w:t>
      </w:r>
      <w:r>
        <w:t xml:space="preserve"> </w:t>
      </w:r>
      <w:r>
        <w:t xml:space="preserve">sur la variable taille est plus grand qu’un enfant ayant la valeur</w:t>
      </w:r>
      <w:r>
        <w:t xml:space="preserve"> </w:t>
      </w:r>
      <w:r>
        <w:t xml:space="preserve">“</w:t>
      </w:r>
      <w:r>
        <w:t xml:space="preserve">1</w:t>
      </w:r>
      <w:r>
        <w:t xml:space="preserve">”</w:t>
      </w:r>
      <w:r>
        <w:t xml:space="preserve">, cela ne signifie pas pour autant qu’il est trois fois plus grand que ce dernier.</w:t>
      </w:r>
    </w:p>
    <w:p>
      <w:pPr>
        <w:pStyle w:val="Titre2"/>
      </w:pPr>
      <w:bookmarkStart w:id="31" w:name="les-variables-quantitatives"/>
      <w:bookmarkEnd w:id="31"/>
      <w:r>
        <w:t xml:space="preserve">Les variables quantitatives</w:t>
      </w:r>
    </w:p>
    <w:p>
      <w:pPr>
        <w:pStyle w:val="FirstParagraph"/>
      </w:pPr>
      <w:r>
        <w:t xml:space="preserve">Les variables</w:t>
      </w:r>
      <w:r>
        <w:t xml:space="preserve"> </w:t>
      </w:r>
      <w:r>
        <w:rPr>
          <w:b/>
        </w:rPr>
        <w:t xml:space="preserve">quantitatives</w:t>
      </w:r>
      <w:r>
        <w:t xml:space="preserve"> </w:t>
      </w:r>
      <w:r>
        <w:t xml:space="preserve">sont les variables dont les valeurs sont intrinsèquement numériques, c’est-à-dire qu’il fait sens d’effectuer des opérations mathématiques sur ses valeurs. Par exemple, si un fermier dispose de deux poules, que la première pond trois oeufs et la deuxième en pond deux, il est correct de dire que le fermier trouvera 5 oeufs lorsqu’il se rendra dans son poulailler.</w:t>
      </w:r>
    </w:p>
    <w:p>
      <w:pPr>
        <w:pStyle w:val="Corpsdetexte"/>
      </w:pPr>
      <w:r>
        <w:t xml:space="preserve">Les variables</w:t>
      </w:r>
      <w:r>
        <w:t xml:space="preserve"> </w:t>
      </w:r>
      <w:r>
        <w:rPr>
          <w:b/>
          <w:i/>
        </w:rPr>
        <w:t xml:space="preserve">discrètes</w:t>
      </w:r>
      <w:r>
        <w:t xml:space="preserve"> </w:t>
      </w:r>
      <w:r>
        <w:t xml:space="preserve">ne peuvent prendre que des valeurs isolées et généralement entières, dans un intervalle de valeurs spécifiques dans R. Ce sont typiquement les variables de comptage (le nombre d’enfants dans une école, le nombre de filles au sein d’une famille…)</w:t>
      </w:r>
    </w:p>
    <w:p>
      <w:pPr>
        <w:pStyle w:val="Corpsdetexte"/>
      </w:pPr>
      <w:r>
        <w:t xml:space="preserve">Les variables</w:t>
      </w:r>
      <w:r>
        <w:t xml:space="preserve"> </w:t>
      </w:r>
      <w:r>
        <w:rPr>
          <w:b/>
          <w:i/>
        </w:rPr>
        <w:t xml:space="preserve">continues</w:t>
      </w:r>
      <w:r>
        <w:t xml:space="preserve">, au contraire, peuvent prendre (au moins théoriquement) n’importe quelle valeur numérique possible (soit une infinité de valeurs), dans un intervalle de valeurs spécifiques dans R. L’âge, les distance, le temps… sont des exemples de variables continues.</w:t>
      </w:r>
    </w:p>
    <w:p>
      <w:pPr>
        <w:pStyle w:val="Titre6"/>
      </w:pPr>
      <w:bookmarkStart w:id="32" w:name="pagebreak-3"/>
      <w:bookmarkEnd w:id="32"/>
      <w:r>
        <w:t xml:space="preserve">Pagebreak</w:t>
      </w:r>
    </w:p>
    <w:p>
      <w:pPr>
        <w:pStyle w:val="Titre1"/>
      </w:pPr>
      <w:bookmarkStart w:id="33" w:name="chapitre-3-exploration-graphique-des-donnees-a-une-dimension"/>
      <w:bookmarkEnd w:id="33"/>
      <w:r>
        <w:t xml:space="preserve">Chapitre 3: exploration graphique des données à une dimension</w:t>
      </w:r>
    </w:p>
    <w:p>
      <w:pPr>
        <w:pStyle w:val="FirstParagraph"/>
      </w:pPr>
      <w:r>
        <w:t xml:space="preserve">Les représentations graphiques sont généralement très appréciées, parce que lorsqu’elles sont réalisées judicieusement, elles permettent en un coup d’oeil de se faire une idée de la tendance principale des données.</w:t>
      </w:r>
    </w:p>
    <w:p>
      <w:pPr>
        <w:pStyle w:val="Corpsdetexte"/>
      </w:pPr>
      <w:r>
        <w:t xml:space="preserve">Il existe une multitude de représentations graphiques si bien qu’il n’est pas toujours évident de savoir quelle représentation choisir. Par ailleurs, certains logiciels proposent des solutions plus ou moins fantaisistes qui peuvent sembler tententes (représentations en 3D, avec couleurs inhabituelles, textures bois…). Je déconseille vivement l’usage de ces artifices. Gardez qu’une bonne présentation est la clé d’une bonne communication. Afin de vous guider vers des choix judicieux, je concluerai ce chapitre sur l’exploration des graphique par quelques conseils qui m’avaient été donnés lors d’un atelier, il y a quelques années, par un brillant scientifique de l’UCL dénommé Christian Ritter.</w:t>
      </w:r>
    </w:p>
    <w:p>
      <w:pPr>
        <w:pStyle w:val="Corpsdetexte"/>
      </w:pPr>
      <w:r>
        <w:t xml:space="preserve">Pour l’heure, 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w:t>
      </w:r>
      <w:r>
        <w:t xml:space="preserve"> </w:t>
      </w:r>
      <w:r>
        <w:rPr>
          <w:b/>
        </w:rPr>
        <w:t xml:space="preserve">simplifiée</w:t>
      </w:r>
      <w:r>
        <w:t xml:space="preserve"> </w:t>
      </w:r>
      <w:r>
        <w:t xml:space="preserve">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pPr>
        <w:pStyle w:val="Corpsdetexte"/>
      </w:pPr>
      <w:r>
        <w:t xml:space="preserve">Nous développerons deux catégories de graphiques: ceux qui sont construits sur base de</w:t>
      </w:r>
      <w:r>
        <w:t xml:space="preserve"> </w:t>
      </w:r>
      <w:r>
        <w:rPr>
          <w:b/>
        </w:rPr>
        <w:t xml:space="preserve">tableaux de fréquence</w:t>
      </w:r>
      <w:r>
        <w:t xml:space="preserve"> </w:t>
      </w:r>
      <w:r>
        <w:t xml:space="preserve">et ceux qui reposent sur le calcul de</w:t>
      </w:r>
      <w:r>
        <w:t xml:space="preserve"> </w:t>
      </w:r>
      <w:r>
        <w:rPr>
          <w:b/>
        </w:rPr>
        <w:t xml:space="preserve">quantiles</w:t>
      </w:r>
      <w:r>
        <w:t xml:space="preserve">.</w:t>
      </w:r>
    </w:p>
    <w:p>
      <w:pPr>
        <w:pStyle w:val="Titre2"/>
      </w:pPr>
      <w:bookmarkStart w:id="34" w:name="les-graphiques-construits-sur-base-des-tableaux-de-frequences"/>
      <w:bookmarkEnd w:id="34"/>
      <w:r>
        <w:t xml:space="preserve">Les graphiques construits sur base des tableaux de fréquences</w:t>
      </w:r>
    </w:p>
    <w:p>
      <w:pPr>
        <w:pStyle w:val="Titre3"/>
      </w:pPr>
      <w:bookmarkStart w:id="35" w:name="variables-qualitatives"/>
      <w:bookmarkEnd w:id="35"/>
      <w:r>
        <w:t xml:space="preserve">Variables qualitatives</w:t>
      </w:r>
    </w:p>
    <w:p>
      <w:pPr>
        <w:pStyle w:val="Titre4"/>
      </w:pPr>
      <w:bookmarkStart w:id="36" w:name="simplification-des-donnees"/>
      <w:bookmarkEnd w:id="36"/>
      <w:r>
        <w:t xml:space="preserve">Simplification des données</w:t>
      </w:r>
    </w:p>
    <w:p>
      <w:pPr>
        <w:pStyle w:val="FirstParagraph"/>
      </w:pPr>
      <w:r>
        <w:t xml:space="preserve">Imaginez que 40 participants aient répondu par</w:t>
      </w:r>
      <w:r>
        <w:t xml:space="preserve"> </w:t>
      </w:r>
      <w:r>
        <w:t xml:space="preserve">“</w:t>
      </w:r>
      <w:r>
        <w:t xml:space="preserve">oui</w:t>
      </w:r>
      <w:r>
        <w:t xml:space="preserve">”</w:t>
      </w:r>
      <w:r>
        <w:t xml:space="preserve"> </w:t>
      </w:r>
      <w:r>
        <w:t xml:space="preserve">ou</w:t>
      </w:r>
      <w:r>
        <w:t xml:space="preserve"> </w:t>
      </w:r>
      <w:r>
        <w:t xml:space="preserve">“</w:t>
      </w:r>
      <w:r>
        <w:t xml:space="preserve">non</w:t>
      </w:r>
      <w:r>
        <w:t xml:space="preserve">”</w:t>
      </w:r>
      <w:r>
        <w:t xml:space="preserve"> </w:t>
      </w:r>
      <w:r>
        <w:t xml:space="preserve">à la question suivante</w:t>
      </w:r>
      <w:r>
        <w:t xml:space="preserve"> </w:t>
      </w:r>
      <w:r>
        <w:t xml:space="preserve">“</w:t>
      </w:r>
      <w:r>
        <w:t xml:space="preserve">Etes vous fumeur?</w:t>
      </w:r>
      <w:r>
        <w:t xml:space="preserve">”</w:t>
      </w:r>
      <w:r>
        <w:t xml:space="preserve"> </w:t>
      </w:r>
      <w:r>
        <w:t xml:space="preserve">et que vous vous retrouvez avec l’ensemble de réponse suivant:</w:t>
      </w:r>
    </w:p>
    <w:tbl>
      <w:tblPr>
        <w:tblStyle w:val="TableNormal"/>
        <w:tblW w:type="pct" w:w="0.0"/>
        <w:tblLook/>
      </w:tblPr>
      <w:tblGrid/>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oui</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bl>
    <w:p>
      <w:pPr>
        <w:pStyle w:val="Corpsdetexte"/>
      </w:pPr>
      <w:r>
        <w:t xml:space="preserve">C’est ce qu’on appelle les données brutes. Une manière de résumer cet ensemble d’information est de calculer un</w:t>
      </w:r>
      <w:r>
        <w:t xml:space="preserve"> </w:t>
      </w:r>
      <w:r>
        <w:rPr>
          <w:b/>
        </w:rPr>
        <w:t xml:space="preserve">tableau de fréquences</w:t>
      </w:r>
      <w:r>
        <w:t xml:space="preserve">, tel que représenté dans la Table 3.1.</w:t>
      </w:r>
    </w:p>
    <w:p>
      <w:pPr>
        <w:pStyle w:val="Corpsdetexte"/>
      </w:pPr>
      <w:r>
        <w:t xml:space="preserve">Table 3.1</w:t>
      </w:r>
      <w:r>
        <w:t xml:space="preserve"> </w:t>
      </w:r>
      <w:r>
        <w:rPr>
          <w:i/>
        </w:rPr>
        <w:t xml:space="preserve">Transformation des données brutes relatives aux fumeurs en tableau de fréquence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fumeur (</w:t>
            </w:r>
            <m:oMath>
              <m:sSub>
                <m:e>
                  <m:r>
                    <m:t>x</m:t>
                  </m:r>
                </m:e>
                <m:sub>
                  <m:r>
                    <m:t>j</m:t>
                  </m:r>
                </m:sub>
              </m:sSub>
              <m:r>
                <m:t>)</m:t>
              </m:r>
            </m:oMath>
          </w:p>
        </w:tc>
        <w:tc>
          <w:tcPr>
            <w:tcBorders>
              <w:bottom w:val="single"/>
            </w:tcBorders>
            <w:vAlign w:val="bottom"/>
          </w:tcPr>
          <w:p>
            <w:pPr>
              <w:pStyle w:val="Compact"/>
              <w:jc w:val="right"/>
            </w:pPr>
            <m:oMath>
              <m:sSub>
                <m:e>
                  <m:r>
                    <m:t>n</m:t>
                  </m:r>
                </m:e>
                <m:sub>
                  <m:r>
                    <m:t>j</m:t>
                  </m:r>
                </m:sub>
              </m:sSub>
            </m:oMath>
          </w:p>
        </w:tc>
        <w:tc>
          <w:tcPr>
            <w:tcBorders>
              <w:bottom w:val="single"/>
            </w:tcBorders>
            <w:vAlign w:val="bottom"/>
          </w:tcPr>
          <w:p>
            <w:pPr>
              <w:pStyle w:val="Compact"/>
              <w:jc w:val="right"/>
            </w:pPr>
            <m:oMath>
              <m:sSub>
                <m:e>
                  <m:r>
                    <m:t>f</m:t>
                  </m:r>
                </m:e>
                <m:sub>
                  <m:r>
                    <m:t>j</m:t>
                  </m:r>
                </m:sub>
              </m:sSub>
            </m:oMath>
          </w:p>
        </w:tc>
      </w:tr>
      <w:tr>
        <w:tc>
          <w:p>
            <w:pPr>
              <w:pStyle w:val="Compact"/>
              <w:jc w:val="left"/>
            </w:pPr>
            <w:r>
              <w:t xml:space="preserve">non</w:t>
            </w:r>
          </w:p>
        </w:tc>
        <w:tc>
          <w:p>
            <w:pPr>
              <w:pStyle w:val="Compact"/>
              <w:jc w:val="right"/>
            </w:pPr>
            <w:r>
              <w:t xml:space="preserve">30</w:t>
            </w:r>
          </w:p>
        </w:tc>
        <w:tc>
          <w:p>
            <w:pPr>
              <w:pStyle w:val="Compact"/>
              <w:jc w:val="right"/>
            </w:pPr>
            <w:r>
              <w:t xml:space="preserve">0.75</w:t>
            </w:r>
          </w:p>
        </w:tc>
      </w:tr>
      <w:tr>
        <w:tc>
          <w:p>
            <w:pPr>
              <w:pStyle w:val="Compact"/>
              <w:jc w:val="left"/>
            </w:pPr>
            <w:r>
              <w:t xml:space="preserve">oui</w:t>
            </w:r>
          </w:p>
        </w:tc>
        <w:tc>
          <w:p>
            <w:pPr>
              <w:pStyle w:val="Compact"/>
              <w:jc w:val="right"/>
            </w:pPr>
            <w:r>
              <w:t xml:space="preserve">10</w:t>
            </w:r>
          </w:p>
        </w:tc>
        <w:tc>
          <w:p>
            <w:pPr>
              <w:pStyle w:val="Compact"/>
              <w:jc w:val="right"/>
            </w:pPr>
            <w:r>
              <w:t xml:space="preserve">0.25</w:t>
            </w:r>
          </w:p>
        </w:tc>
      </w:tr>
    </w:tbl>
    <w:p>
      <w:pPr>
        <w:pStyle w:val="Corpsdetexte"/>
      </w:pPr>
      <w:r>
        <w:t xml:space="preserve">Il s’agit d’un tableau dans lequel chaque ligne représente une valeur possible de la variable. Comme vous pouvez l’observer, deux lignes ont été envisagées (une pour les fumeurs, une pour les non fumeurs) et le nombre de personnes appartenant à chaque catégorie constitue ce que l’on appelle la</w:t>
      </w:r>
      <w:r>
        <w:t xml:space="preserve"> </w:t>
      </w:r>
      <w:r>
        <w:rPr>
          <w:b/>
        </w:rPr>
        <w:t xml:space="preserve">fréquence absolue</w:t>
      </w:r>
      <w:r>
        <w:t xml:space="preserve">. La somme des fréquences absolues correspond au nombre total de personnes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30</m:t>
          </m:r>
          <m:r>
            <m:t>+</m:t>
          </m:r>
          <m:r>
            <m:t>10</m:t>
          </m:r>
          <m:r>
            <m:t>=</m:t>
          </m:r>
          <m:r>
            <m:t>40</m:t>
          </m:r>
        </m:oMath>
      </m:oMathPara>
    </w:p>
    <w:p>
      <w:pPr>
        <w:pStyle w:val="FirstParagraph"/>
      </w:pPr>
      <w:r>
        <w:t xml:space="preserve">La colonne suivante contient la même information mais par rapport à l’ensemble des ménages, c’est la</w:t>
      </w:r>
      <w:r>
        <w:t xml:space="preserve"> </w:t>
      </w:r>
      <w:r>
        <w:rPr>
          <w:b/>
        </w:rPr>
        <w:t xml:space="preserve">fréquence relative</w:t>
      </w:r>
      <w:r>
        <w:t xml:space="preserve">.</w:t>
      </w:r>
    </w:p>
    <w:p>
      <w:pPr>
        <w:pStyle w:val="Corpsdetexte"/>
      </w:pPr>
      <m:oMathPara>
        <m:oMathParaPr>
          <m:jc m:val="center"/>
        </m:oMathParaPr>
        <m:oMath>
          <m:sSub>
            <m:e>
              <m:r>
                <m:t>f</m:t>
              </m:r>
            </m:e>
            <m:sub>
              <m:r>
                <m:t>j</m:t>
              </m:r>
            </m:sub>
          </m:sSub>
          <m:r>
            <m:t>=</m:t>
          </m:r>
          <m:f>
            <m:fPr>
              <m:type m:val="bar"/>
            </m:fPr>
            <m:num>
              <m:sSub>
                <m:e>
                  <m:r>
                    <m:t>n</m:t>
                  </m:r>
                </m:e>
                <m:sub>
                  <m:r>
                    <m:t>j</m:t>
                  </m:r>
                </m:sub>
              </m:sSub>
            </m:num>
            <m:den>
              <m:r>
                <m:t>n</m:t>
              </m:r>
            </m:den>
          </m:f>
        </m:oMath>
      </m:oMathPara>
    </w:p>
    <w:p>
      <w:pPr>
        <w:pStyle w:val="FirstParagraph"/>
      </w:pPr>
      <w:r>
        <w:br w:type="textWrapping"/>
      </w:r>
      <w:r>
        <w:t xml:space="preserve">Par exemple, 30 personnes de l’échantillon sur 40 ne fument pas, or 30/40 x 100 = 75 % (75% des personnes ne notre échantillon ne fument pas).</w:t>
      </w:r>
    </w:p>
    <w:p>
      <w:pPr>
        <w:pStyle w:val="Corpsdetexte"/>
      </w:pPr>
      <w:r>
        <w:t xml:space="preserve">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vaiable X seront symboliées par x). On utilise l’indice</w:t>
      </w:r>
      <w:r>
        <w:t xml:space="preserve"> </w:t>
      </w:r>
      <w:r>
        <w:rPr>
          <w:i/>
        </w:rPr>
        <w:t xml:space="preserve">j</w:t>
      </w:r>
      <w:r>
        <w:t xml:space="preserve"> </w:t>
      </w:r>
      <w:r>
        <w:t xml:space="preserve">pour se référer à chaque valeur possible, j pouvant varier de 1 à k (dans le cas présent, k = 2). On symbolise par</w:t>
      </w:r>
      <w:r>
        <w:t xml:space="preserve"> </w:t>
      </w:r>
      <m:oMath>
        <m:sSub>
          <m:e>
            <m:r>
              <m:t>x</m:t>
            </m:r>
          </m:e>
          <m:sub>
            <m:r>
              <m:t>j</m:t>
            </m:r>
          </m:sub>
        </m:sSub>
      </m:oMath>
      <w:r>
        <w:t xml:space="preserve"> </w:t>
      </w:r>
      <w:r>
        <w:t xml:space="preserve">(x indicé j) la jème valeur possible de la variable X. Par exemple, si l’on choisit de nommer X la variable</w:t>
      </w:r>
      <w:r>
        <w:t xml:space="preserve"> </w:t>
      </w:r>
      <w:r>
        <w:t xml:space="preserve">“</w:t>
      </w:r>
      <w:r>
        <w:t xml:space="preserve">fumer</w:t>
      </w:r>
      <w:r>
        <w:t xml:space="preserve">”</w:t>
      </w:r>
      <w:r>
        <w:t xml:space="preserve">,</w:t>
      </w:r>
      <w:r>
        <w:t xml:space="preserve"> </w:t>
      </w:r>
      <m:oMath>
        <m:sSub>
          <m:e>
            <m:r>
              <m:t>x</m:t>
            </m:r>
          </m:e>
          <m:sub>
            <m:r>
              <m:t>2</m:t>
            </m:r>
          </m:sub>
        </m:sSub>
        <m:r>
          <m:t>=</m:t>
        </m:r>
        <m:r>
          <m:t>o</m:t>
        </m:r>
        <m:r>
          <m:t>u</m:t>
        </m:r>
        <m:r>
          <m:t>i</m:t>
        </m:r>
      </m:oMath>
      <w:r>
        <w:t xml:space="preserve">.</w:t>
      </w:r>
      <w:r>
        <w:t xml:space="preserve"> </w:t>
      </w:r>
      <m:oMath>
        <m:sSub>
          <m:e>
            <m:r>
              <m:t>n</m:t>
            </m:r>
          </m:e>
          <m:sub>
            <m:r>
              <m:t>j</m:t>
            </m:r>
          </m:sub>
        </m:sSub>
      </m:oMath>
      <w:r>
        <w:t xml:space="preserve"> </w:t>
      </w:r>
      <w:r>
        <w:t xml:space="preserve">correspond aux fréquences absolues associées à chaque valeur</w:t>
      </w:r>
      <w:r>
        <w:t xml:space="preserve"> </w:t>
      </w:r>
      <m:oMath>
        <m:sSub>
          <m:e>
            <m:r>
              <m:t>x</m:t>
            </m:r>
          </m:e>
          <m:sub>
            <m:r>
              <m:t>j</m:t>
            </m:r>
          </m:sub>
        </m:sSub>
      </m:oMath>
      <w:r>
        <w:t xml:space="preserve">. Par exemple,</w:t>
      </w:r>
      <w:r>
        <w:t xml:space="preserve"> </w:t>
      </w:r>
      <m:oMath>
        <m:sSub>
          <m:e>
            <m:r>
              <m:t>n</m:t>
            </m:r>
          </m:e>
          <m:sub>
            <m:r>
              <m:t>1</m:t>
            </m:r>
          </m:sub>
        </m:sSub>
      </m:oMath>
      <w:r>
        <w:t xml:space="preserve">= 30. Enfin,</w:t>
      </w:r>
      <w:r>
        <w:t xml:space="preserve"> </w:t>
      </w:r>
      <m:oMath>
        <m:sSub>
          <m:e>
            <m:r>
              <m:t>f</m:t>
            </m:r>
          </m:e>
          <m:sub>
            <m:r>
              <m:t>i</m:t>
            </m:r>
          </m:sub>
        </m:sSub>
      </m:oMath>
      <w:r>
        <w:t xml:space="preserve"> </w:t>
      </w:r>
      <w:r>
        <w:t xml:space="preserve">correspond aux fréquences relatives. Par exemple</w:t>
      </w:r>
      <w:r>
        <w:t xml:space="preserve"> </w:t>
      </w:r>
      <m:oMath>
        <m:sSub>
          <m:e>
            <m:r>
              <m:t>f</m:t>
            </m:r>
          </m:e>
          <m:sub>
            <m:r>
              <m:t>2</m:t>
            </m:r>
          </m:sub>
        </m:sSub>
      </m:oMath>
      <w:r>
        <w:t xml:space="preserve">= 0.25.</w:t>
      </w:r>
    </w:p>
    <w:p>
      <w:pPr>
        <w:pStyle w:val="Corpsdetexte"/>
      </w:pPr>
      <w:r>
        <w:t xml:space="preserve">Notons que quand on étudie des variables nominales, peu importe l’ordre d’apparition des modalités de la variable dans le tableau de fréquence. Dans l’exemple, nous avons représenté d’abord les non fumeurs, suivi des fumeurs. L’inverse aurait pu être fait également sans pour autant altérer le contenu informatif du tableau.</w:t>
      </w:r>
    </w:p>
    <w:p>
      <w:pPr>
        <w:pStyle w:val="Titre4"/>
      </w:pPr>
      <w:bookmarkStart w:id="37" w:name="realisation-graphique"/>
      <w:bookmarkEnd w:id="37"/>
      <w:r>
        <w:t xml:space="preserve">Réalisation graphique</w:t>
      </w:r>
    </w:p>
    <w:p>
      <w:pPr>
        <w:pStyle w:val="Titre5"/>
      </w:pPr>
      <w:bookmarkStart w:id="38" w:name="diagramme-en-batons"/>
      <w:bookmarkEnd w:id="38"/>
      <w:r>
        <w:t xml:space="preserve">Diagramme en bâtons</w:t>
      </w:r>
    </w:p>
    <w:p>
      <w:pPr>
        <w:pStyle w:val="FirstParagraph"/>
      </w:pPr>
      <w:r>
        <w:t xml:space="preserve">Le diagramme en bâtons consiste à représenter en abcisse les différentes valeurs que peut prendre la variable que l’on étudie(</w:t>
      </w:r>
      <m:oMath>
        <m:sSub>
          <m:e>
            <m:r>
              <m:t>x</m:t>
            </m:r>
          </m:e>
          <m:sub>
            <m:r>
              <m:t>j</m:t>
            </m:r>
          </m:sub>
        </m:sSub>
      </m:oMath>
      <w:r>
        <w:t xml:space="preserve">) et en ordonnée les fréquences associées à chaque valeur</w:t>
      </w:r>
      <w:r>
        <w:t xml:space="preserve"> </w:t>
      </w:r>
      <m:oMath>
        <m:sSub>
          <m:e>
            <m:r>
              <m:t>x</m:t>
            </m:r>
          </m:e>
          <m:sub>
            <m:r>
              <m:t>j</m:t>
            </m:r>
          </m:sub>
        </m:sSub>
      </m:oMath>
      <w:r>
        <w:t xml:space="preserve"> </w:t>
      </w:r>
      <w:r>
        <w:t xml:space="preserve">(soit</w:t>
      </w:r>
      <w:r>
        <w:t xml:space="preserve"> </w:t>
      </w:r>
      <m:oMath>
        <m:sSub>
          <m:e>
            <m:r>
              <m:t>n</m:t>
            </m:r>
          </m:e>
          <m:sub>
            <m:r>
              <m:t>j</m:t>
            </m:r>
          </m:sub>
        </m:sSub>
      </m:oMath>
      <w:r>
        <w:t xml:space="preserve">, soit</w:t>
      </w:r>
      <w:r>
        <w:t xml:space="preserve"> </w:t>
      </w:r>
      <m:oMath>
        <m:sSub>
          <m:e>
            <m:r>
              <m:t>f</m:t>
            </m:r>
          </m:e>
          <m:sub>
            <m:r>
              <m:t>j</m:t>
            </m:r>
          </m:sub>
        </m:sSub>
      </m:oMath>
      <w:r>
        <w:t xml:space="preserve">). Pour chaque valeur</w:t>
      </w:r>
      <w:r>
        <w:t xml:space="preserve"> </w:t>
      </w:r>
      <m:oMath>
        <m:sSub>
          <m:e>
            <m:r>
              <m:t>x</m:t>
            </m:r>
          </m:e>
          <m:sub>
            <m:r>
              <m:t>j</m:t>
            </m:r>
          </m:sub>
        </m:sSub>
      </m:oMath>
      <w:r>
        <w:t xml:space="preserve">, on trace un bâtonnet dont la hauteur varie en fonction de la fréquence associée à cette valeur</w:t>
      </w:r>
      <w:r>
        <w:t xml:space="preserve"> </w:t>
      </w:r>
      <m:oMath>
        <m:sSub>
          <m:e>
            <m:r>
              <m:t>x</m:t>
            </m:r>
          </m:e>
          <m:sub>
            <m:r>
              <m:t>j</m:t>
            </m:r>
          </m:sub>
        </m:sSub>
      </m:oMath>
      <w:r>
        <w:t xml:space="preserve">.</w:t>
      </w:r>
    </w:p>
    <w:p>
      <w:pPr>
        <w:pStyle w:val="Corpsdetexte"/>
      </w:pPr>
      <w:r>
        <w:t xml:space="preserve">L’ordre dans lequel les différents bâtonnets importe peu lorsqu’on représente des variables nominales. De plus, étant donné que l’axe des abcisses n’est pas normé, la largeur des bâtons importe peu également (même si pour le confort des yeux, on les gardera généralement uniformes).</w:t>
      </w:r>
    </w:p>
    <w:p>
      <w:pPr>
        <w:pStyle w:val="Corpsdetexte"/>
      </w:pPr>
      <w:r>
        <w:t xml:space="preserve">La figure Figure 3.1 montre deux diagrammes en bâtons de notre distribution. Que l’on représente les fréquences absolues ou les fréquences relatives sur l’axe des ordonnées importe peu en termes de forme de graphe. En revanche, l’information donnée est un petit peu différente: dans le premier cas, on peut dénombrer le nombre de fumeur et de non fumeur, dans le second cas, on peut déterminer le pourcentage de personnse qui fument ou ne fument pas dans l’échantillon.</w:t>
      </w:r>
    </w:p>
    <w:p>
      <w:pPr>
        <w:pStyle w:val="Corpsdetexte"/>
      </w:pPr>
      <w:r>
        <w:t xml:space="preserve">Figure 3.1</w:t>
      </w:r>
      <w:r>
        <w:br w:type="textWrapping"/>
      </w:r>
      <w:r>
        <w:rPr>
          <w:i/>
        </w:rPr>
        <w:t xml:space="preserve">Diagramme en barre de la distribution de la Table 3.1</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fumeu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0" w:name="diagramme-circulaire"/>
      <w:bookmarkEnd w:id="40"/>
      <w:r>
        <w:t xml:space="preserve">Diagramme circulaire</w:t>
      </w:r>
    </w:p>
    <w:p>
      <w:pPr>
        <w:pStyle w:val="FirstParagraph"/>
      </w:pPr>
      <w:r>
        <w:t xml:space="preserve">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pPr>
        <w:pStyle w:val="Corpsdetexte"/>
      </w:pPr>
      <w:r>
        <w:t xml:space="preserve">La Figure 3.2 montre deux diagrammes circulaires de notre distribution. De même que pour les diagrammes en bâtons, que ce soient les fréquences absolues ou les fréquences relatives importe peu de termes de forme de graphe, mais l’informatin donnée varie légèrement: dans le premier cas, on peut dénombrer le nombre de fumeur et de non fumeur, dans le second cas, on peut déterminer le pourcentage de personnse qui fument ou ne fument pas dans l’échantillon.</w:t>
      </w:r>
    </w:p>
    <w:p>
      <w:pPr>
        <w:pStyle w:val="Corpsdetexte"/>
      </w:pPr>
      <w:r>
        <w:t xml:space="preserve">Figure 3.2</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fumeur-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Déterminer l’angle pour chaque catégorie peut se faire en procédant à une règle de trois. Un cercle fait exactement 360° et doit représenter l’ensemble des individus constituant l’échantillon, soit 40. Ces 360° doivent être répartis entre les catégories, de manière proportionnelle à la fréquence de chaque catégorie. Par exemple, 30 personnes ne fument pas (valeur</w:t>
      </w:r>
      <w:r>
        <w:t xml:space="preserve"> </w:t>
      </w:r>
      <m:oMath>
        <m:sSub>
          <m:e>
            <m:r>
              <m:t>x</m:t>
            </m:r>
          </m:e>
          <m:sub>
            <m:r>
              <m:t>j</m:t>
            </m:r>
          </m:sub>
        </m:sSub>
      </m:oMath>
      <w:r>
        <w:t xml:space="preserve"> </w:t>
      </w:r>
      <w:r>
        <w:t xml:space="preserve">= non). Cela représente 75% de l’échantillon, l’angle correspondra donc à 75% des 360°.</w:t>
      </w:r>
    </w:p>
    <w:p>
      <w:pPr>
        <w:pStyle w:val="Corpsdetexte"/>
      </w:pPr>
      <m:oMathPara>
        <m:oMathParaPr>
          <m:jc m:val="center"/>
        </m:oMathParaPr>
        <m:oMath>
          <m:r>
            <m:t>40</m:t>
          </m:r>
          <m:r>
            <m:t>→</m:t>
          </m:r>
          <m:r>
            <m:t>360</m:t>
          </m:r>
          <m:r>
            <m:t>°</m:t>
          </m:r>
        </m:oMath>
      </m:oMathPara>
    </w:p>
    <w:p>
      <w:pPr>
        <w:pStyle w:val="FirstParagraph"/>
      </w:pPr>
      <m:oMathPara>
        <m:oMathParaPr>
          <m:jc m:val="center"/>
        </m:oMathParaPr>
        <m:oMath>
          <m:r>
            <m:t>⇔</m:t>
          </m:r>
          <m:r>
            <m:t>1</m:t>
          </m:r>
          <m:r>
            <m:t>→</m:t>
          </m:r>
          <m:f>
            <m:fPr>
              <m:type m:val="bar"/>
            </m:fPr>
            <m:num>
              <m:r>
                <m:t>360</m:t>
              </m:r>
              <m:r>
                <m:t>°</m:t>
              </m:r>
            </m:num>
            <m:den>
              <m:r>
                <m:t>40</m:t>
              </m:r>
            </m:den>
          </m:f>
          <m:r>
            <m:t>=</m:t>
          </m:r>
          <m:r>
            <m:t>9</m:t>
          </m:r>
          <m:r>
            <m:t>°</m:t>
          </m:r>
        </m:oMath>
      </m:oMathPara>
    </w:p>
    <w:p>
      <w:pPr>
        <w:pStyle w:val="FirstParagraph"/>
      </w:pPr>
      <m:oMathPara>
        <m:oMathParaPr>
          <m:jc m:val="center"/>
        </m:oMathParaPr>
        <m:oMath>
          <m:r>
            <m:t>⇔</m:t>
          </m:r>
          <m:r>
            <m:t>30</m:t>
          </m:r>
          <m:r>
            <m:t>→</m:t>
          </m:r>
          <m:f>
            <m:fPr>
              <m:type m:val="bar"/>
            </m:fPr>
            <m:num>
              <m:r>
                <m:t>360</m:t>
              </m:r>
              <m:r>
                <m:t>°</m:t>
              </m:r>
            </m:num>
            <m:den>
              <m:r>
                <m:t>40</m:t>
              </m:r>
            </m:den>
          </m:f>
          <m:r>
            <m:t>×</m:t>
          </m:r>
          <m:r>
            <m:t>30</m:t>
          </m:r>
          <m:r>
            <m:t>=</m:t>
          </m:r>
          <m:r>
            <m:t>270</m:t>
          </m:r>
          <m:r>
            <m:t>°</m:t>
          </m:r>
        </m:oMath>
      </m:oMathPara>
    </w:p>
    <w:p>
      <w:pPr>
        <w:pStyle w:val="FirstParagraph"/>
      </w:pPr>
      <w:r>
        <w:t xml:space="preserve">Naturellement, dans la mesure où les parts sont de taille proportionnelle à la fréquence associée à chaque catégorie, déterminer l’angle pour chaque catégorie en utilisant les fréquences relatives, plutét que les fréquences absolues, fournit exactement le même résultat, à condition d’utiliser les valeurs exactes (non arrondies). La preuve:</w:t>
      </w:r>
    </w:p>
    <w:p>
      <w:pPr>
        <w:pStyle w:val="Corpsdetexte"/>
      </w:pPr>
      <m:oMathPara>
        <m:oMathParaPr>
          <m:jc m:val="center"/>
        </m:oMathParaPr>
        <m:oMath>
          <m:r>
            <m:t>100</m:t>
          </m:r>
          <m:r>
            <m:t>%</m:t>
          </m:r>
          <m:r>
            <m:t>→</m:t>
          </m:r>
          <m:r>
            <m:t>360</m:t>
          </m:r>
          <m:r>
            <m:t>°</m:t>
          </m:r>
        </m:oMath>
      </m:oMathPara>
    </w:p>
    <w:p>
      <w:pPr>
        <w:pStyle w:val="FirstParagraph"/>
      </w:pPr>
      <m:oMathPara>
        <m:oMathParaPr>
          <m:jc m:val="center"/>
        </m:oMathParaPr>
        <m:oMath>
          <m:r>
            <m:t>⇔</m:t>
          </m:r>
          <m:r>
            <m:t>1</m:t>
          </m:r>
          <m:r>
            <m:t>%</m:t>
          </m:r>
          <m:r>
            <m:t>→</m:t>
          </m:r>
          <m:f>
            <m:fPr>
              <m:type m:val="bar"/>
            </m:fPr>
            <m:num>
              <m:r>
                <m:t>360</m:t>
              </m:r>
              <m:r>
                <m:t>°</m:t>
              </m:r>
            </m:num>
            <m:den>
              <m:r>
                <m:t>100</m:t>
              </m:r>
            </m:den>
          </m:f>
          <m:r>
            <m:t>=</m:t>
          </m:r>
          <m:r>
            <m:t>3.6</m:t>
          </m:r>
          <m:r>
            <m:t>°</m:t>
          </m:r>
        </m:oMath>
      </m:oMathPara>
    </w:p>
    <w:p>
      <w:pPr>
        <w:pStyle w:val="FirstParagraph"/>
      </w:pPr>
      <m:oMathPara>
        <m:oMathParaPr>
          <m:jc m:val="center"/>
        </m:oMathParaPr>
        <m:oMath>
          <m:r>
            <m:t>⇔</m:t>
          </m:r>
          <m:r>
            <m:t>75</m:t>
          </m:r>
          <m:r>
            <m:t>%</m:t>
          </m:r>
          <m:r>
            <m:t>→</m:t>
          </m:r>
          <m:f>
            <m:fPr>
              <m:type m:val="bar"/>
            </m:fPr>
            <m:num>
              <m:r>
                <m:t>360</m:t>
              </m:r>
              <m:r>
                <m:t>°</m:t>
              </m:r>
            </m:num>
            <m:den>
              <m:r>
                <m:t>100</m:t>
              </m:r>
            </m:den>
          </m:f>
          <m:r>
            <m:t>×</m:t>
          </m:r>
          <m:r>
            <m:t>75</m:t>
          </m:r>
          <m:r>
            <m:t>=</m:t>
          </m:r>
          <m:r>
            <m:t>270</m:t>
          </m:r>
          <m:r>
            <m:t>°</m:t>
          </m:r>
        </m:oMath>
      </m:oMathPara>
    </w:p>
    <w:p>
      <w:pPr>
        <w:pStyle w:val="FirstParagraph"/>
      </w:pPr>
      <w:r>
        <w:t xml:space="preserve">Bien que ça ne soit pas le cas dans cet exemple, les fréquences relatives contiendront parfois un nombre important (voire infini) de décimales. Il est dès lors généralement plus facile de déterminer les angles de chaque part sur base des fréquences abolues plutôt que sur base des fréquences relatives. La Table 3.4 fournit les angles qui devraient être associés à chaque catégorie dans l’exemple de la Table 3.1:</w:t>
      </w:r>
    </w:p>
    <w:p>
      <w:pPr>
        <w:pStyle w:val="Corpsdetexte"/>
      </w:pPr>
      <w:r>
        <w:t xml:space="preserve">Table 3.4</w:t>
      </w:r>
      <w:r>
        <w:br w:type="textWrapping"/>
      </w:r>
      <w:r>
        <w:rPr>
          <w:i/>
        </w:rPr>
        <w:t xml:space="preserve">Angle de chaque part du diagramme circulaire représententant les données de la Table 3.1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non</w:t>
            </w:r>
          </w:p>
        </w:tc>
        <w:tc>
          <w:p>
            <w:pPr>
              <w:pStyle w:val="Compact"/>
              <w:jc w:val="center"/>
            </w:pPr>
            <w:r>
              <w:t xml:space="preserve">30</w:t>
            </w:r>
          </w:p>
        </w:tc>
        <w:tc>
          <w:p>
            <w:pPr>
              <w:pStyle w:val="Compact"/>
              <w:jc w:val="center"/>
            </w:pPr>
            <w:r>
              <w:t xml:space="preserve">270</w:t>
            </w:r>
          </w:p>
        </w:tc>
      </w:tr>
      <w:tr>
        <w:tc>
          <w:p>
            <w:pPr>
              <w:pStyle w:val="Compact"/>
              <w:jc w:val="center"/>
            </w:pPr>
            <w:r>
              <w:t xml:space="preserve">oui</w:t>
            </w:r>
          </w:p>
        </w:tc>
        <w:tc>
          <w:p>
            <w:pPr>
              <w:pStyle w:val="Compact"/>
              <w:jc w:val="center"/>
            </w:pPr>
            <w:r>
              <w:t xml:space="preserve">10</w:t>
            </w:r>
          </w:p>
        </w:tc>
        <w:tc>
          <w:p>
            <w:pPr>
              <w:pStyle w:val="Compact"/>
              <w:jc w:val="center"/>
            </w:pPr>
            <w:r>
              <w:t xml:space="preserve">90</w:t>
            </w:r>
          </w:p>
        </w:tc>
      </w:tr>
    </w:tbl>
    <w:p>
      <w:pPr>
        <w:pStyle w:val="Corpsdetexte"/>
      </w:pPr>
      <w:r>
        <w:t xml:space="preserve">Ce type de graphique présente de nombreux inconvénients en termes de communication. Entre autres, ils sont peu précis: lorsque deux catégories sont associées à des fréquences relativement similaires, il devient très difficile de repérer leur différence. Cela sera illustré dans la section dédiée aux diagrammes circulaires pour représenter des variables quantitatives discrètes.</w:t>
      </w:r>
    </w:p>
    <w:p>
      <w:pPr>
        <w:pStyle w:val="Titre3"/>
      </w:pPr>
      <w:bookmarkStart w:id="42" w:name="variables-quantitatives-discretes"/>
      <w:bookmarkEnd w:id="42"/>
      <w:r>
        <w:t xml:space="preserve">Variables quantitatives discrètes</w:t>
      </w:r>
    </w:p>
    <w:p>
      <w:pPr>
        <w:pStyle w:val="FirstParagraph"/>
      </w:pPr>
      <w:r>
        <w:t xml:space="preserve">Table 3.2</w:t>
      </w:r>
      <w:r>
        <w:br w:type="textWrapping"/>
      </w:r>
      <w:r>
        <w:rPr>
          <w:i/>
        </w:rPr>
        <w:t xml:space="preserve">Données brutes relatives au nombre d’enfants par ménages, au sein de 40 ménages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r>
      <w:tr>
        <w:tc>
          <w:p>
            <w:pPr>
              <w:pStyle w:val="Compact"/>
              <w:jc w:val="center"/>
            </w:pPr>
            <w:r>
              <w:t xml:space="preserve">1</w:t>
            </w:r>
          </w:p>
        </w:tc>
        <w:tc>
          <w:p>
            <w:pPr>
              <w:pStyle w:val="Compact"/>
              <w:jc w:val="center"/>
            </w:pPr>
            <w:r>
              <w:t xml:space="preserve">5</w:t>
            </w:r>
          </w:p>
        </w:tc>
        <w:tc>
          <w:p>
            <w:pPr>
              <w:pStyle w:val="Compact"/>
              <w:jc w:val="center"/>
            </w:pPr>
            <w:r>
              <w:t xml:space="preserve">11</w:t>
            </w:r>
          </w:p>
        </w:tc>
        <w:tc>
          <w:p>
            <w:pPr>
              <w:pStyle w:val="Compact"/>
              <w:jc w:val="center"/>
            </w:pPr>
            <w:r>
              <w:t xml:space="preserve">1</w:t>
            </w:r>
          </w:p>
        </w:tc>
        <w:tc>
          <w:p>
            <w:pPr>
              <w:pStyle w:val="Compact"/>
              <w:jc w:val="center"/>
            </w:pPr>
            <w:r>
              <w:t xml:space="preserve">21</w:t>
            </w:r>
          </w:p>
        </w:tc>
        <w:tc>
          <w:p>
            <w:pPr>
              <w:pStyle w:val="Compact"/>
              <w:jc w:val="center"/>
            </w:pPr>
            <w:r>
              <w:t xml:space="preserve">1</w:t>
            </w:r>
          </w:p>
        </w:tc>
        <w:tc>
          <w:p>
            <w:pPr>
              <w:pStyle w:val="Compact"/>
              <w:jc w:val="center"/>
            </w:pPr>
            <w:r>
              <w:t xml:space="preserve">31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12</w:t>
            </w:r>
          </w:p>
        </w:tc>
        <w:tc>
          <w:p>
            <w:pPr>
              <w:pStyle w:val="Compact"/>
              <w:jc w:val="center"/>
            </w:pPr>
            <w:r>
              <w:t xml:space="preserve">3</w:t>
            </w:r>
          </w:p>
        </w:tc>
        <w:tc>
          <w:p>
            <w:pPr>
              <w:pStyle w:val="Compact"/>
              <w:jc w:val="center"/>
            </w:pPr>
            <w:r>
              <w:t xml:space="preserve">22</w:t>
            </w:r>
          </w:p>
        </w:tc>
        <w:tc>
          <w:p>
            <w:pPr>
              <w:pStyle w:val="Compact"/>
              <w:jc w:val="center"/>
            </w:pPr>
            <w:r>
              <w:t xml:space="preserve">1</w:t>
            </w:r>
          </w:p>
        </w:tc>
        <w:tc>
          <w:p>
            <w:pPr>
              <w:pStyle w:val="Compact"/>
              <w:jc w:val="center"/>
            </w:pPr>
            <w:r>
              <w:t xml:space="preserve">32</w:t>
            </w:r>
          </w:p>
        </w:tc>
        <w:tc>
          <w:p>
            <w:pPr>
              <w:pStyle w:val="Compact"/>
              <w:jc w:val="center"/>
            </w:pPr>
            <w:r>
              <w:t xml:space="preserve">1</w:t>
            </w:r>
          </w:p>
        </w:tc>
      </w:tr>
      <w:tr>
        <w:tc>
          <w:p>
            <w:pPr>
              <w:pStyle w:val="Compact"/>
              <w:jc w:val="center"/>
            </w:pPr>
            <w:r>
              <w:t xml:space="preserve">3</w:t>
            </w:r>
          </w:p>
        </w:tc>
        <w:tc>
          <w:p>
            <w:pPr>
              <w:pStyle w:val="Compact"/>
              <w:jc w:val="center"/>
            </w:pPr>
            <w:r>
              <w:t xml:space="preserve">2</w:t>
            </w:r>
          </w:p>
        </w:tc>
        <w:tc>
          <w:p>
            <w:pPr>
              <w:pStyle w:val="Compact"/>
              <w:jc w:val="center"/>
            </w:pPr>
            <w:r>
              <w:t xml:space="preserve">13</w:t>
            </w:r>
          </w:p>
        </w:tc>
        <w:tc>
          <w:p>
            <w:pPr>
              <w:pStyle w:val="Compact"/>
              <w:jc w:val="center"/>
            </w:pPr>
            <w:r>
              <w:t xml:space="preserve">3</w:t>
            </w:r>
          </w:p>
        </w:tc>
        <w:tc>
          <w:p>
            <w:pPr>
              <w:pStyle w:val="Compact"/>
              <w:jc w:val="center"/>
            </w:pPr>
            <w:r>
              <w:t xml:space="preserve">23</w:t>
            </w:r>
          </w:p>
        </w:tc>
        <w:tc>
          <w:p>
            <w:pPr>
              <w:pStyle w:val="Compact"/>
              <w:jc w:val="center"/>
            </w:pPr>
            <w:r>
              <w:t xml:space="preserve">2</w:t>
            </w:r>
          </w:p>
        </w:tc>
        <w:tc>
          <w:p>
            <w:pPr>
              <w:pStyle w:val="Compact"/>
              <w:jc w:val="center"/>
            </w:pPr>
            <w:r>
              <w:t xml:space="preserve">33</w:t>
            </w:r>
          </w:p>
        </w:tc>
        <w:tc>
          <w:p>
            <w:pPr>
              <w:pStyle w:val="Compact"/>
              <w:jc w:val="center"/>
            </w:pPr>
            <w:r>
              <w:t xml:space="preserve">2</w:t>
            </w:r>
          </w:p>
        </w:tc>
      </w:tr>
      <w:tr>
        <w:tc>
          <w:p>
            <w:pPr>
              <w:pStyle w:val="Compact"/>
              <w:jc w:val="center"/>
            </w:pPr>
            <w:r>
              <w:t xml:space="preserve">4</w:t>
            </w:r>
          </w:p>
        </w:tc>
        <w:tc>
          <w:p>
            <w:pPr>
              <w:pStyle w:val="Compact"/>
              <w:jc w:val="center"/>
            </w:pPr>
            <w:r>
              <w:t xml:space="preserve">3</w:t>
            </w:r>
          </w:p>
        </w:tc>
        <w:tc>
          <w:p>
            <w:pPr>
              <w:pStyle w:val="Compact"/>
              <w:jc w:val="center"/>
            </w:pPr>
            <w:r>
              <w:t xml:space="preserve">14</w:t>
            </w:r>
          </w:p>
        </w:tc>
        <w:tc>
          <w:p>
            <w:pPr>
              <w:pStyle w:val="Compact"/>
              <w:jc w:val="center"/>
            </w:pPr>
            <w:r>
              <w:t xml:space="preserve">1</w:t>
            </w:r>
          </w:p>
        </w:tc>
        <w:tc>
          <w:p>
            <w:pPr>
              <w:pStyle w:val="Compact"/>
              <w:jc w:val="center"/>
            </w:pPr>
            <w:r>
              <w:t xml:space="preserve">24</w:t>
            </w:r>
          </w:p>
        </w:tc>
        <w:tc>
          <w:p>
            <w:pPr>
              <w:pStyle w:val="Compact"/>
              <w:jc w:val="center"/>
            </w:pPr>
            <w:r>
              <w:t xml:space="preserve">2</w:t>
            </w:r>
          </w:p>
        </w:tc>
        <w:tc>
          <w:p>
            <w:pPr>
              <w:pStyle w:val="Compact"/>
              <w:jc w:val="center"/>
            </w:pPr>
            <w:r>
              <w:t xml:space="preserve">34</w:t>
            </w:r>
          </w:p>
        </w:tc>
        <w:tc>
          <w:p>
            <w:pPr>
              <w:pStyle w:val="Compact"/>
              <w:jc w:val="center"/>
            </w:pPr>
            <w:r>
              <w:t xml:space="preserve">2</w:t>
            </w:r>
          </w:p>
        </w:tc>
      </w:tr>
      <w:tr>
        <w:tc>
          <w:p>
            <w:pPr>
              <w:pStyle w:val="Compact"/>
              <w:jc w:val="center"/>
            </w:pPr>
            <w:r>
              <w:t xml:space="preserve">5</w:t>
            </w:r>
          </w:p>
        </w:tc>
        <w:tc>
          <w:p>
            <w:pPr>
              <w:pStyle w:val="Compact"/>
              <w:jc w:val="center"/>
            </w:pPr>
            <w:r>
              <w:t xml:space="preserve">1</w:t>
            </w:r>
          </w:p>
        </w:tc>
        <w:tc>
          <w:p>
            <w:pPr>
              <w:pStyle w:val="Compact"/>
              <w:jc w:val="center"/>
            </w:pPr>
            <w:r>
              <w:t xml:space="preserve">15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c>
          <w:p>
            <w:pPr>
              <w:pStyle w:val="Compact"/>
              <w:jc w:val="center"/>
            </w:pPr>
            <w:r>
              <w:t xml:space="preserve">35</w:t>
            </w:r>
          </w:p>
        </w:tc>
        <w:tc>
          <w:p>
            <w:pPr>
              <w:pStyle w:val="Compact"/>
              <w:jc w:val="center"/>
            </w:pPr>
            <w:r>
              <w:t xml:space="preserve">1</w:t>
            </w:r>
          </w:p>
        </w:tc>
      </w:tr>
      <w:tr>
        <w:tc>
          <w:p>
            <w:pPr>
              <w:pStyle w:val="Compact"/>
              <w:jc w:val="center"/>
            </w:pPr>
            <w:r>
              <w:t xml:space="preserve">6</w:t>
            </w:r>
          </w:p>
        </w:tc>
        <w:tc>
          <w:p>
            <w:pPr>
              <w:pStyle w:val="Compact"/>
              <w:jc w:val="center"/>
            </w:pPr>
            <w:r>
              <w:t xml:space="preserve">2</w:t>
            </w:r>
          </w:p>
        </w:tc>
        <w:tc>
          <w:p>
            <w:pPr>
              <w:pStyle w:val="Compact"/>
              <w:jc w:val="center"/>
            </w:pPr>
            <w:r>
              <w:t xml:space="preserve">16</w:t>
            </w:r>
          </w:p>
        </w:tc>
        <w:tc>
          <w:p>
            <w:pPr>
              <w:pStyle w:val="Compact"/>
              <w:jc w:val="center"/>
            </w:pPr>
            <w:r>
              <w:t xml:space="preserve">3</w:t>
            </w:r>
          </w:p>
        </w:tc>
        <w:tc>
          <w:p>
            <w:pPr>
              <w:pStyle w:val="Compact"/>
              <w:jc w:val="center"/>
            </w:pPr>
            <w:r>
              <w:t xml:space="preserve">26</w:t>
            </w:r>
          </w:p>
        </w:tc>
        <w:tc>
          <w:p>
            <w:pPr>
              <w:pStyle w:val="Compact"/>
              <w:jc w:val="center"/>
            </w:pPr>
            <w:r>
              <w:t xml:space="preserve">2</w:t>
            </w:r>
          </w:p>
        </w:tc>
        <w:tc>
          <w:p>
            <w:pPr>
              <w:pStyle w:val="Compact"/>
              <w:jc w:val="center"/>
            </w:pPr>
            <w:r>
              <w:t xml:space="preserve">36</w:t>
            </w:r>
          </w:p>
        </w:tc>
        <w:tc>
          <w:p>
            <w:pPr>
              <w:pStyle w:val="Compact"/>
              <w:jc w:val="center"/>
            </w:pPr>
            <w:r>
              <w:t xml:space="preserve">2</w:t>
            </w:r>
          </w:p>
        </w:tc>
      </w:tr>
      <w:tr>
        <w:tc>
          <w:p>
            <w:pPr>
              <w:pStyle w:val="Compact"/>
              <w:jc w:val="center"/>
            </w:pPr>
            <w:r>
              <w:t xml:space="preserve">7</w:t>
            </w:r>
          </w:p>
        </w:tc>
        <w:tc>
          <w:p>
            <w:pPr>
              <w:pStyle w:val="Compact"/>
              <w:jc w:val="center"/>
            </w:pPr>
            <w:r>
              <w:t xml:space="preserve">1</w:t>
            </w:r>
          </w:p>
        </w:tc>
        <w:tc>
          <w:p>
            <w:pPr>
              <w:pStyle w:val="Compact"/>
              <w:jc w:val="center"/>
            </w:pPr>
            <w:r>
              <w:t xml:space="preserve">17</w:t>
            </w:r>
          </w:p>
        </w:tc>
        <w:tc>
          <w:p>
            <w:pPr>
              <w:pStyle w:val="Compact"/>
              <w:jc w:val="center"/>
            </w:pPr>
            <w:r>
              <w:t xml:space="preserve">3</w:t>
            </w:r>
          </w:p>
        </w:tc>
        <w:tc>
          <w:p>
            <w:pPr>
              <w:pStyle w:val="Compact"/>
              <w:jc w:val="center"/>
            </w:pPr>
            <w:r>
              <w:t xml:space="preserve">27</w:t>
            </w:r>
          </w:p>
        </w:tc>
        <w:tc>
          <w:p>
            <w:pPr>
              <w:pStyle w:val="Compact"/>
              <w:jc w:val="center"/>
            </w:pPr>
            <w:r>
              <w:t xml:space="preserve">3</w:t>
            </w:r>
          </w:p>
        </w:tc>
        <w:tc>
          <w:p>
            <w:pPr>
              <w:pStyle w:val="Compact"/>
              <w:jc w:val="center"/>
            </w:pPr>
            <w:r>
              <w:t xml:space="preserve">37</w:t>
            </w:r>
          </w:p>
        </w:tc>
        <w:tc>
          <w:p>
            <w:pPr>
              <w:pStyle w:val="Compact"/>
              <w:jc w:val="center"/>
            </w:pPr>
            <w:r>
              <w:t xml:space="preserve">3</w:t>
            </w:r>
          </w:p>
        </w:tc>
      </w:tr>
      <w:tr>
        <w:tc>
          <w:p>
            <w:pPr>
              <w:pStyle w:val="Compact"/>
              <w:jc w:val="center"/>
            </w:pPr>
            <w:r>
              <w:t xml:space="preserve">8</w:t>
            </w:r>
          </w:p>
        </w:tc>
        <w:tc>
          <w:p>
            <w:pPr>
              <w:pStyle w:val="Compact"/>
              <w:jc w:val="center"/>
            </w:pPr>
            <w:r>
              <w:t xml:space="preserve">2</w:t>
            </w:r>
          </w:p>
        </w:tc>
        <w:tc>
          <w:p>
            <w:pPr>
              <w:pStyle w:val="Compact"/>
              <w:jc w:val="center"/>
            </w:pPr>
            <w:r>
              <w:t xml:space="preserve">18</w:t>
            </w:r>
          </w:p>
        </w:tc>
        <w:tc>
          <w:p>
            <w:pPr>
              <w:pStyle w:val="Compact"/>
              <w:jc w:val="center"/>
            </w:pPr>
            <w:r>
              <w:t xml:space="preserve">1</w:t>
            </w:r>
          </w:p>
        </w:tc>
        <w:tc>
          <w:p>
            <w:pPr>
              <w:pStyle w:val="Compact"/>
              <w:jc w:val="center"/>
            </w:pPr>
            <w:r>
              <w:t xml:space="preserve">28</w:t>
            </w:r>
          </w:p>
        </w:tc>
        <w:tc>
          <w:p>
            <w:pPr>
              <w:pStyle w:val="Compact"/>
              <w:jc w:val="center"/>
            </w:pPr>
            <w:r>
              <w:t xml:space="preserve">1</w:t>
            </w:r>
          </w:p>
        </w:tc>
        <w:tc>
          <w:p>
            <w:pPr>
              <w:pStyle w:val="Compact"/>
              <w:jc w:val="center"/>
            </w:pPr>
            <w:r>
              <w:t xml:space="preserve">38</w:t>
            </w:r>
          </w:p>
        </w:tc>
        <w:tc>
          <w:p>
            <w:pPr>
              <w:pStyle w:val="Compact"/>
              <w:jc w:val="center"/>
            </w:pPr>
            <w:r>
              <w:t xml:space="preserve">1</w:t>
            </w:r>
          </w:p>
        </w:tc>
      </w:tr>
      <w:tr>
        <w:tc>
          <w:p>
            <w:pPr>
              <w:pStyle w:val="Compact"/>
              <w:jc w:val="center"/>
            </w:pPr>
            <w:r>
              <w:t xml:space="preserve">9</w:t>
            </w:r>
          </w:p>
        </w:tc>
        <w:tc>
          <w:p>
            <w:pPr>
              <w:pStyle w:val="Compact"/>
              <w:jc w:val="center"/>
            </w:pPr>
            <w:r>
              <w:t xml:space="preserve">2</w:t>
            </w:r>
          </w:p>
        </w:tc>
        <w:tc>
          <w:p>
            <w:pPr>
              <w:pStyle w:val="Compact"/>
              <w:jc w:val="center"/>
            </w:pPr>
            <w:r>
              <w:t xml:space="preserve">19</w:t>
            </w:r>
          </w:p>
        </w:tc>
        <w:tc>
          <w:p>
            <w:pPr>
              <w:pStyle w:val="Compact"/>
              <w:jc w:val="center"/>
            </w:pPr>
            <w:r>
              <w:t xml:space="preserve">2</w:t>
            </w:r>
          </w:p>
        </w:tc>
        <w:tc>
          <w:p>
            <w:pPr>
              <w:pStyle w:val="Compact"/>
              <w:jc w:val="center"/>
            </w:pPr>
            <w:r>
              <w:t xml:space="preserve">29</w:t>
            </w:r>
          </w:p>
        </w:tc>
        <w:tc>
          <w:p>
            <w:pPr>
              <w:pStyle w:val="Compact"/>
              <w:jc w:val="center"/>
            </w:pPr>
            <w:r>
              <w:t xml:space="preserve">3</w:t>
            </w:r>
          </w:p>
        </w:tc>
        <w:tc>
          <w:p>
            <w:pPr>
              <w:pStyle w:val="Compact"/>
              <w:jc w:val="center"/>
            </w:pPr>
            <w:r>
              <w:t xml:space="preserve">39</w:t>
            </w:r>
          </w:p>
        </w:tc>
        <w:tc>
          <w:p>
            <w:pPr>
              <w:pStyle w:val="Compact"/>
              <w:jc w:val="center"/>
            </w:pPr>
            <w:r>
              <w:t xml:space="preserve">3</w:t>
            </w:r>
          </w:p>
        </w:tc>
      </w:tr>
      <w:tr>
        <w:tc>
          <w:p>
            <w:pPr>
              <w:pStyle w:val="Compact"/>
              <w:jc w:val="center"/>
            </w:pPr>
            <w:r>
              <w:t xml:space="preserve">10</w:t>
            </w:r>
          </w:p>
        </w:tc>
        <w:tc>
          <w:p>
            <w:pPr>
              <w:pStyle w:val="Compact"/>
              <w:jc w:val="center"/>
            </w:pPr>
            <w:r>
              <w:t xml:space="preserve">2</w:t>
            </w:r>
          </w:p>
        </w:tc>
        <w:tc>
          <w:p>
            <w:pPr>
              <w:pStyle w:val="Compact"/>
              <w:jc w:val="center"/>
            </w:pPr>
            <w:r>
              <w:t xml:space="preserve">20</w:t>
            </w:r>
          </w:p>
        </w:tc>
        <w:tc>
          <w:p>
            <w:pPr>
              <w:pStyle w:val="Compact"/>
              <w:jc w:val="center"/>
            </w:pPr>
            <w:r>
              <w:t xml:space="preserve">1</w:t>
            </w:r>
          </w:p>
        </w:tc>
        <w:tc>
          <w:p>
            <w:pPr>
              <w:pStyle w:val="Compact"/>
              <w:jc w:val="center"/>
            </w:pPr>
            <w:r>
              <w:t xml:space="preserve">30</w:t>
            </w:r>
          </w:p>
        </w:tc>
        <w:tc>
          <w:p>
            <w:pPr>
              <w:pStyle w:val="Compact"/>
              <w:jc w:val="center"/>
            </w:pPr>
            <w:r>
              <w:t xml:space="preserve">4</w:t>
            </w:r>
          </w:p>
        </w:tc>
        <w:tc>
          <w:p>
            <w:pPr>
              <w:pStyle w:val="Compact"/>
              <w:jc w:val="center"/>
            </w:pPr>
            <w:r>
              <w:t xml:space="preserve">40</w:t>
            </w:r>
          </w:p>
        </w:tc>
        <w:tc>
          <w:p>
            <w:pPr>
              <w:pStyle w:val="Compact"/>
              <w:jc w:val="center"/>
            </w:pPr>
            <w:r>
              <w:t xml:space="preserve">4</w:t>
            </w:r>
          </w:p>
        </w:tc>
      </w:tr>
    </w:tbl>
    <w:p>
      <w:pPr>
        <w:pStyle w:val="Titre4"/>
      </w:pPr>
      <w:bookmarkStart w:id="43" w:name="simplification-des-donnees-transformation-en-tableaux-de-frequences"/>
      <w:bookmarkEnd w:id="43"/>
      <w:r>
        <w:t xml:space="preserve">Simplification des données: transformation en tableaux de fréquences</w:t>
      </w:r>
    </w:p>
    <w:p>
      <w:pPr>
        <w:pStyle w:val="FirstParagraph"/>
      </w:pPr>
      <w:r>
        <w:t xml:space="preserve">La Table 3.2 répertorie le nombre d’enfants vivant au sein de 40 ménages fictifs. Notez que j’ai représenté ces données brutes sur plusieurs colonnes distinctes par soucis d’économie de place. Cependant, dans un logiciel (excel, ,par exemple), il conviendrait de n’encoder que deux colonnes: une première relative au numéro (ou id) attribué à chaque sujet, et une deuxième relative à la variable</w:t>
      </w:r>
      <w:r>
        <w:t xml:space="preserve"> </w:t>
      </w:r>
      <w:r>
        <w:t xml:space="preserve">“</w:t>
      </w:r>
      <w:r>
        <w:t xml:space="preserve">nombre d’enfants</w:t>
      </w:r>
      <w:r>
        <w:t xml:space="preserve">”</w:t>
      </w:r>
      <w:r>
        <w:t xml:space="preserve">. Rappelez-vous: une ligne par sujet, et une colonne par variable!</w:t>
      </w:r>
    </w:p>
    <w:p>
      <w:pPr>
        <w:pStyle w:val="Corpsdetexte"/>
      </w:pPr>
      <w:r>
        <w:t xml:space="preserve">La Table 3.3 constitue le tableau de fréquence de ces données.</w:t>
      </w:r>
    </w:p>
    <w:p>
      <w:pPr>
        <w:pStyle w:val="Titre6"/>
      </w:pPr>
      <w:bookmarkStart w:id="44" w:name="pagebreak-4"/>
      <w:bookmarkEnd w:id="44"/>
      <w:r>
        <w:t xml:space="preserve">Pagebreak</w:t>
      </w:r>
    </w:p>
    <w:p>
      <w:pPr>
        <w:pStyle w:val="FirstParagraph"/>
      </w:pPr>
      <w:r>
        <w:t xml:space="preserve">Table 3.3</w:t>
      </w:r>
      <w:r>
        <w:br w:type="textWrapping"/>
      </w:r>
      <w:r>
        <w:rPr>
          <w:i/>
        </w:rPr>
        <w:t xml:space="preserve">Transformation de la Table 3.2 en tableau de fréquence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d’enfants (</w:t>
            </w:r>
            <m:oMath>
              <m:sSub>
                <m:e>
                  <m:r>
                    <m:t>x</m:t>
                  </m:r>
                </m:e>
                <m:sub>
                  <m:r>
                    <m:t>j</m:t>
                  </m:r>
                </m:sub>
              </m:sSub>
            </m:oMath>
            <w:r>
              <w:t xml:space="preserv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1</w:t>
            </w:r>
          </w:p>
        </w:tc>
        <w:tc>
          <w:p>
            <w:pPr>
              <w:pStyle w:val="Compact"/>
              <w:jc w:val="center"/>
            </w:pPr>
            <w:r>
              <w:t xml:space="preserve">14</w:t>
            </w:r>
          </w:p>
        </w:tc>
        <w:tc>
          <w:p>
            <w:pPr>
              <w:pStyle w:val="Compact"/>
              <w:jc w:val="center"/>
            </w:pPr>
            <w:r>
              <w:t xml:space="preserve">35.0</w:t>
            </w:r>
          </w:p>
        </w:tc>
        <w:tc>
          <w:p>
            <w:pPr>
              <w:pStyle w:val="Compact"/>
              <w:jc w:val="center"/>
            </w:pPr>
            <w:r>
              <w:t xml:space="preserve">14</w:t>
            </w:r>
          </w:p>
        </w:tc>
        <w:tc>
          <w:p>
            <w:pPr>
              <w:pStyle w:val="Compact"/>
              <w:jc w:val="center"/>
            </w:pPr>
            <w:r>
              <w:t xml:space="preserve">35.0</w:t>
            </w:r>
          </w:p>
        </w:tc>
      </w:tr>
      <w:tr>
        <w:tc>
          <w:p>
            <w:pPr>
              <w:pStyle w:val="Compact"/>
              <w:jc w:val="center"/>
            </w:pPr>
            <w:r>
              <w:t xml:space="preserve">2</w:t>
            </w:r>
          </w:p>
        </w:tc>
        <w:tc>
          <w:p>
            <w:pPr>
              <w:pStyle w:val="Compact"/>
              <w:jc w:val="center"/>
            </w:pPr>
            <w:r>
              <w:t xml:space="preserve">13</w:t>
            </w:r>
          </w:p>
        </w:tc>
        <w:tc>
          <w:p>
            <w:pPr>
              <w:pStyle w:val="Compact"/>
              <w:jc w:val="center"/>
            </w:pPr>
            <w:r>
              <w:t xml:space="preserve">32.5</w:t>
            </w:r>
          </w:p>
        </w:tc>
        <w:tc>
          <w:p>
            <w:pPr>
              <w:pStyle w:val="Compact"/>
              <w:jc w:val="center"/>
            </w:pPr>
            <w:r>
              <w:t xml:space="preserve">27</w:t>
            </w:r>
          </w:p>
        </w:tc>
        <w:tc>
          <w:p>
            <w:pPr>
              <w:pStyle w:val="Compact"/>
              <w:jc w:val="center"/>
            </w:pPr>
            <w:r>
              <w:t xml:space="preserve">67.5</w:t>
            </w:r>
          </w:p>
        </w:tc>
      </w:tr>
      <w:tr>
        <w:tc>
          <w:p>
            <w:pPr>
              <w:pStyle w:val="Compact"/>
              <w:jc w:val="center"/>
            </w:pPr>
            <w:r>
              <w:t xml:space="preserve">3</w:t>
            </w:r>
          </w:p>
        </w:tc>
        <w:tc>
          <w:p>
            <w:pPr>
              <w:pStyle w:val="Compact"/>
              <w:jc w:val="center"/>
            </w:pPr>
            <w:r>
              <w:t xml:space="preserve">9</w:t>
            </w:r>
          </w:p>
        </w:tc>
        <w:tc>
          <w:p>
            <w:pPr>
              <w:pStyle w:val="Compact"/>
              <w:jc w:val="center"/>
            </w:pPr>
            <w:r>
              <w:t xml:space="preserve">22.5</w:t>
            </w:r>
          </w:p>
        </w:tc>
        <w:tc>
          <w:p>
            <w:pPr>
              <w:pStyle w:val="Compact"/>
              <w:jc w:val="center"/>
            </w:pPr>
            <w:r>
              <w:t xml:space="preserve">36</w:t>
            </w:r>
          </w:p>
        </w:tc>
        <w:tc>
          <w:p>
            <w:pPr>
              <w:pStyle w:val="Compact"/>
              <w:jc w:val="center"/>
            </w:pPr>
            <w:r>
              <w:t xml:space="preserve">90.0</w:t>
            </w:r>
          </w:p>
        </w:tc>
      </w:tr>
      <w:tr>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39</w:t>
            </w:r>
          </w:p>
        </w:tc>
        <w:tc>
          <w:p>
            <w:pPr>
              <w:pStyle w:val="Compact"/>
              <w:jc w:val="center"/>
            </w:pPr>
            <w:r>
              <w:t xml:space="preserve">97.5</w:t>
            </w:r>
          </w:p>
        </w:tc>
      </w:tr>
      <w:tr>
        <w:tc>
          <w:p>
            <w:pPr>
              <w:pStyle w:val="Compact"/>
              <w:jc w:val="center"/>
            </w:pPr>
            <w:r>
              <w:t xml:space="preserve">5</w:t>
            </w:r>
          </w:p>
        </w:tc>
        <w:tc>
          <w:p>
            <w:pPr>
              <w:pStyle w:val="Compact"/>
              <w:jc w:val="center"/>
            </w:pPr>
            <w:r>
              <w:t xml:space="preserve">1</w:t>
            </w:r>
          </w:p>
        </w:tc>
        <w:tc>
          <w:p>
            <w:pPr>
              <w:pStyle w:val="Compact"/>
              <w:jc w:val="center"/>
            </w:pPr>
            <w:r>
              <w:t xml:space="preserve">2.5</w:t>
            </w:r>
          </w:p>
        </w:tc>
        <w:tc>
          <w:p>
            <w:pPr>
              <w:pStyle w:val="Compact"/>
              <w:jc w:val="center"/>
            </w:pPr>
            <w:r>
              <w:t xml:space="preserve">40</w:t>
            </w:r>
          </w:p>
        </w:tc>
        <w:tc>
          <w:p>
            <w:pPr>
              <w:pStyle w:val="Compact"/>
              <w:jc w:val="center"/>
            </w:pPr>
            <w:r>
              <w:t xml:space="preserve">100.0</w:t>
            </w:r>
          </w:p>
        </w:tc>
      </w:tr>
    </w:tbl>
    <w:p>
      <w:pPr>
        <w:pStyle w:val="Corpsdetexte"/>
      </w:pPr>
      <w:r>
        <w:t xml:space="preserve">Comme vous pouvez l’observer, de même que fait précédemment pour les variables nominales, les nombres possibles d’enfants par ménage ont été envisagés et on leur associe une fréquence absolue (</w:t>
      </w:r>
      <m:oMath>
        <m:sSub>
          <m:e>
            <m:r>
              <m:t>n</m:t>
            </m:r>
          </m:e>
          <m:sub>
            <m:r>
              <m:t>j</m:t>
            </m:r>
          </m:sub>
        </m:sSub>
      </m:oMath>
      <w:r>
        <w:t xml:space="preserve">), et une fréquence relative (</w:t>
      </w:r>
      <m:oMath>
        <m:sSub>
          <m:e>
            <m:r>
              <m:t>f</m:t>
            </m:r>
          </m:e>
          <m:sub>
            <m:r>
              <m:t>j</m:t>
            </m:r>
          </m:sub>
        </m:sSub>
      </m:oMath>
      <w:r>
        <w:t xml:space="preserve">). Par ailleurs, la somme des fréquences absolues correspond toujours au nombre total de ménages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14</m:t>
          </m:r>
          <m:r>
            <m:t>+</m:t>
          </m:r>
          <m:r>
            <m:t>13</m:t>
          </m:r>
          <m:r>
            <m:t>+</m:t>
          </m:r>
          <m:r>
            <m:t>9</m:t>
          </m:r>
          <m:r>
            <m:t>+</m:t>
          </m:r>
          <m:r>
            <m:t>3</m:t>
          </m:r>
          <m:r>
            <m:t>+</m:t>
          </m:r>
          <m:r>
            <m:t>1</m:t>
          </m:r>
          <m:r>
            <m:t>=</m:t>
          </m:r>
          <m:r>
            <m:t>40</m:t>
          </m:r>
        </m:oMath>
      </m:oMathPara>
    </w:p>
    <w:p>
      <w:pPr>
        <w:pStyle w:val="FirstParagraph"/>
      </w:pPr>
      <w:r>
        <w:t xml:space="preserve">Contrairement au cas des variables nominales, l’ordre de présentation de chaque ligne a une importance. On triera généralement les valeurs possibles de la variable représentée par ordre croissant (1 apparait avant 2, 2 apparait avant 3, etc.).</w:t>
      </w:r>
    </w:p>
    <w:p>
      <w:pPr>
        <w:pStyle w:val="Corpsdetexte"/>
      </w:pPr>
      <w:r>
        <w:t xml:space="preserve">De plus, on pourra calculer ce qu’on appelle les</w:t>
      </w:r>
      <w:r>
        <w:t xml:space="preserve"> </w:t>
      </w:r>
      <w:r>
        <w:rPr>
          <w:b/>
        </w:rPr>
        <w:t xml:space="preserve">fréquences cumulées</w:t>
      </w:r>
      <w:r>
        <w:t xml:space="preserve">, soit le cumul de plusieurs fréquences.</w:t>
      </w:r>
    </w:p>
    <w:p>
      <w:pPr>
        <w:pStyle w:val="Corpsdetexte"/>
      </w:pPr>
      <w:r>
        <w:t xml:space="preserve">Les fréquences absolues cumulées sont la somme de plusieurs fréquences absolues (notation:</w:t>
      </w:r>
      <w:r>
        <w:t xml:space="preserve"> </w:t>
      </w:r>
      <m:oMath>
        <m:sSub>
          <m:e>
            <m:r>
              <m:t>N</m:t>
            </m:r>
          </m:e>
          <m:sub>
            <m:r>
              <m:t>i</m:t>
            </m:r>
          </m:sub>
        </m:sSub>
      </m:oMath>
      <w:r>
        <w:t xml:space="preserve">).</w:t>
      </w:r>
    </w:p>
    <w:p>
      <w:pPr>
        <w:pStyle w:val="Corpsdetexte"/>
      </w:pPr>
      <m:oMathPara>
        <m:oMathParaPr>
          <m:jc m:val="center"/>
        </m:oMathParaPr>
        <m:oMath>
          <m:sSub>
            <m:e>
              <m:r>
                <m:t>N</m:t>
              </m:r>
            </m:e>
            <m:sub>
              <m:r>
                <m:t>j</m:t>
              </m:r>
            </m:sub>
          </m:sSub>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FirstParagraph"/>
      </w:pPr>
      <w:r>
        <w:t xml:space="preserve">Cela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w:t>
      </w:r>
      <w:r>
        <w:t xml:space="preserve"> </w:t>
      </w:r>
      <w:r>
        <w:rPr>
          <w:b/>
        </w:rPr>
        <w:t xml:space="preserve">fréquences relatives cumulées</w:t>
      </w:r>
      <w:r>
        <w:t xml:space="preserve">, soit la dernière colonne du tableau (notation:</w:t>
      </w:r>
      <w:r>
        <w:t xml:space="preserve"> </w:t>
      </w:r>
      <m:oMath>
        <m:sSub>
          <m:e>
            <m:r>
              <m:t>F</m:t>
            </m:r>
          </m:e>
          <m:sub>
            <m:r>
              <m:t>i</m:t>
            </m:r>
          </m:sub>
        </m:sSub>
      </m:oMath>
      <w:r>
        <w:t xml:space="preserve">).</w:t>
      </w:r>
    </w:p>
    <w:p>
      <w:pPr>
        <w:pStyle w:val="Corpsdetexte"/>
      </w:pPr>
      <m:oMathPara>
        <m:oMathParaPr>
          <m:jc m:val="center"/>
        </m:oMathParaPr>
        <m:oMath>
          <m:sSub>
            <m:e>
              <m:r>
                <m:t>F</m:t>
              </m:r>
            </m:e>
            <m:sub>
              <m:r>
                <m:t>j</m:t>
              </m:r>
            </m:sub>
          </m:sSub>
          <m:r>
            <m:t>=</m:t>
          </m:r>
          <m:nary>
            <m:naryPr>
              <m:chr m:val="∑"/>
              <m:limLoc m:val="undOvr"/>
              <m:subHide m:val="0"/>
              <m:supHide m:val="0"/>
            </m:naryPr>
            <m:sub>
              <m:r>
                <m:t>j</m:t>
              </m:r>
              <m:r>
                <m:t>=</m:t>
              </m:r>
              <m:r>
                <m:t>1</m:t>
              </m:r>
            </m:sub>
            <m:sup>
              <m:r>
                <m:t>j</m:t>
              </m:r>
            </m:sup>
            <m:e>
              <m:sSub>
                <m:e>
                  <m:r>
                    <m:t>f</m:t>
                  </m:r>
                </m:e>
                <m:sub>
                  <m:r>
                    <m:t>j</m:t>
                  </m:r>
                </m:sub>
              </m:sSub>
            </m:e>
          </m:nary>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Titre4"/>
      </w:pPr>
      <w:bookmarkStart w:id="45" w:name="representation-graphique"/>
      <w:bookmarkEnd w:id="45"/>
      <w:r>
        <w:t xml:space="preserve">Représentation graphique</w:t>
      </w:r>
    </w:p>
    <w:p>
      <w:pPr>
        <w:pStyle w:val="Titre5"/>
      </w:pPr>
      <w:bookmarkStart w:id="46" w:name="diagramme-en-batons-1"/>
      <w:bookmarkEnd w:id="46"/>
      <w:r>
        <w:t xml:space="preserve">Diagramme en bâtons</w:t>
      </w:r>
    </w:p>
    <w:p>
      <w:pPr>
        <w:pStyle w:val="FirstParagraph"/>
      </w:pPr>
      <w:r>
        <w:t xml:space="preserve">Dans la mesure où il existe un ordre logique entre les différentes valeurs de la variable représentée, l’ordre des bâtonnets importe (contrairement au cas des variables nominales).</w:t>
      </w:r>
    </w:p>
    <w:p>
      <w:pPr>
        <w:pStyle w:val="Corpsdetexte"/>
      </w:pPr>
      <w:r>
        <w:t xml:space="preserve">La Figure 3.3 montre deux diagrammes en bâtons de notre distribution. On constate à nouveau que l’allure générale du graphique est la même, que l’on représente les fréquences absolues ou relatives sur le diagramme. En revanche, l’information donnée est un petit peu différente: dans le premier cas, on peut dénombrer le nombre de ménages qui ont un nombre donné d’enfants, dans le second cas, on peut déterminer le pourcentage de ménages qui ont ce nombre d’enfants.</w:t>
      </w:r>
    </w:p>
    <w:p>
      <w:pPr>
        <w:pStyle w:val="Corpsdetexte"/>
      </w:pPr>
      <w:r>
        <w:t xml:space="preserve">Figure 3.3</w:t>
      </w:r>
      <w:r>
        <w:br w:type="textWrapping"/>
      </w:r>
      <w:r>
        <w:rPr>
          <w:i/>
        </w:rPr>
        <w:t xml:space="preserve">Diagramme en barre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data3.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8" w:name="diagramme-circulaire-1"/>
      <w:bookmarkEnd w:id="48"/>
      <w:r>
        <w:t xml:space="preserve">Diagramme circulaire</w:t>
      </w:r>
    </w:p>
    <w:p>
      <w:pPr>
        <w:pStyle w:val="FirstParagraph"/>
      </w:pPr>
      <w:r>
        <w:t xml:space="preserve">La Figure 3.4 montre deux diagrammes circulaires de notre distribution: l’un qui représente les fréquences absolues, et l’autre qui représente les fréquences relatives.</w:t>
      </w:r>
    </w:p>
    <w:p>
      <w:pPr>
        <w:pStyle w:val="Corpsdetexte"/>
      </w:pPr>
      <w:r>
        <w:t xml:space="preserve">Figure 3.4</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data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Table 3.5 fournit les angles qui devraient être associés à chaque catégorie dans l’exemple de la Table 3.3. Ceux-ci ont été déterminés en procédant à une règle de trois, comme expliqué dans la section dédiée aux diagrammes circulaires pour représenter des variables nominales.</w:t>
      </w:r>
    </w:p>
    <w:p>
      <w:pPr>
        <w:pStyle w:val="Corpsdetexte"/>
      </w:pPr>
      <w:r>
        <w:t xml:space="preserve">Table 3.5</w:t>
      </w:r>
      <w:r>
        <w:br w:type="textWrapping"/>
      </w:r>
      <w:r>
        <w:rPr>
          <w:i/>
        </w:rPr>
        <w:t xml:space="preserve">Angle de chaque part du diagramme circulaire représententant les données de la Table 3.3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1</w:t>
            </w:r>
          </w:p>
        </w:tc>
        <w:tc>
          <w:p>
            <w:pPr>
              <w:pStyle w:val="Compact"/>
              <w:jc w:val="center"/>
            </w:pPr>
            <w:r>
              <w:t xml:space="preserve">14</w:t>
            </w:r>
          </w:p>
        </w:tc>
        <w:tc>
          <w:p>
            <w:pPr>
              <w:pStyle w:val="Compact"/>
              <w:jc w:val="center"/>
            </w:pPr>
            <w:r>
              <w:t xml:space="preserve">126</w:t>
            </w:r>
          </w:p>
        </w:tc>
      </w:tr>
      <w:tr>
        <w:tc>
          <w:p>
            <w:pPr>
              <w:pStyle w:val="Compact"/>
              <w:jc w:val="center"/>
            </w:pPr>
            <w:r>
              <w:t xml:space="preserve">2</w:t>
            </w:r>
          </w:p>
        </w:tc>
        <w:tc>
          <w:p>
            <w:pPr>
              <w:pStyle w:val="Compact"/>
              <w:jc w:val="center"/>
            </w:pPr>
            <w:r>
              <w:t xml:space="preserve">13</w:t>
            </w:r>
          </w:p>
        </w:tc>
        <w:tc>
          <w:p>
            <w:pPr>
              <w:pStyle w:val="Compact"/>
              <w:jc w:val="center"/>
            </w:pPr>
            <w:r>
              <w:t xml:space="preserve">117</w:t>
            </w:r>
          </w:p>
        </w:tc>
      </w:tr>
      <w:tr>
        <w:tc>
          <w:p>
            <w:pPr>
              <w:pStyle w:val="Compact"/>
              <w:jc w:val="center"/>
            </w:pPr>
            <w:r>
              <w:t xml:space="preserve">3</w:t>
            </w:r>
          </w:p>
        </w:tc>
        <w:tc>
          <w:p>
            <w:pPr>
              <w:pStyle w:val="Compact"/>
              <w:jc w:val="center"/>
            </w:pPr>
            <w:r>
              <w:t xml:space="preserve">9</w:t>
            </w:r>
          </w:p>
        </w:tc>
        <w:tc>
          <w:p>
            <w:pPr>
              <w:pStyle w:val="Compact"/>
              <w:jc w:val="center"/>
            </w:pPr>
            <w:r>
              <w:t xml:space="preserve">81</w:t>
            </w:r>
          </w:p>
        </w:tc>
      </w:tr>
      <w:tr>
        <w:tc>
          <w:p>
            <w:pPr>
              <w:pStyle w:val="Compact"/>
              <w:jc w:val="center"/>
            </w:pPr>
            <w:r>
              <w:t xml:space="preserve">4</w:t>
            </w:r>
          </w:p>
        </w:tc>
        <w:tc>
          <w:p>
            <w:pPr>
              <w:pStyle w:val="Compact"/>
              <w:jc w:val="center"/>
            </w:pPr>
            <w:r>
              <w:t xml:space="preserve">3</w:t>
            </w:r>
          </w:p>
        </w:tc>
        <w:tc>
          <w:p>
            <w:pPr>
              <w:pStyle w:val="Compact"/>
              <w:jc w:val="center"/>
            </w:pPr>
            <w:r>
              <w:t xml:space="preserve">27</w:t>
            </w:r>
          </w:p>
        </w:tc>
      </w:tr>
      <w:tr>
        <w:tc>
          <w:p>
            <w:pPr>
              <w:pStyle w:val="Compact"/>
              <w:jc w:val="center"/>
            </w:pPr>
            <w:r>
              <w:t xml:space="preserve">5</w:t>
            </w:r>
          </w:p>
        </w:tc>
        <w:tc>
          <w:p>
            <w:pPr>
              <w:pStyle w:val="Compact"/>
              <w:jc w:val="center"/>
            </w:pPr>
            <w:r>
              <w:t xml:space="preserve">1</w:t>
            </w:r>
          </w:p>
        </w:tc>
        <w:tc>
          <w:p>
            <w:pPr>
              <w:pStyle w:val="Compact"/>
              <w:jc w:val="center"/>
            </w:pPr>
            <w:r>
              <w:t xml:space="preserve">9</w:t>
            </w:r>
          </w:p>
        </w:tc>
      </w:tr>
    </w:tbl>
    <w:p>
      <w:pPr>
        <w:pStyle w:val="Corpsdetexte"/>
      </w:pPr>
      <w:r>
        <w:t xml:space="preserve">Il a déjà été précisé ce type de graphique est peu précis et que lorsque deux catégories sont associées à des fréquences relativement similaires, il devient très difficile de repérer leur différence. Dans la Figure 3.4, les deux premières catégories semblent de taille égale, alors qu’elles ne le sont pas. Il est nettement plus aisé de le voir dans la Figure 3.3. C’est dû au fait que notre oeil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w:t>
      </w:r>
    </w:p>
    <w:p>
      <w:pPr>
        <w:pStyle w:val="Titre5"/>
      </w:pPr>
      <w:bookmarkStart w:id="50" w:name="diagramme-des-frequences-cumulees"/>
      <w:bookmarkEnd w:id="50"/>
      <w:r>
        <w:t xml:space="preserve">Diagramme des fréquences cumulées</w:t>
      </w:r>
    </w:p>
    <w:p>
      <w:pPr>
        <w:pStyle w:val="FirstParagraph"/>
      </w:pPr>
      <w:r>
        <w:t xml:space="preserve">Le diagramme des fréquences cumulées consiste à représenter les différentes valeurs que peut prendre la variable à représenter par des bâtonnets dont la hauteur varie en fonction non plus de la fréquence (absolue ou relative) mais en fonction de la fréquence</w:t>
      </w:r>
      <w:r>
        <w:t xml:space="preserve"> </w:t>
      </w:r>
      <w:r>
        <w:rPr>
          <w:b/>
        </w:rPr>
        <w:t xml:space="preserve">cumulée</w:t>
      </w:r>
      <w:r>
        <w:t xml:space="preserve"> </w:t>
      </w:r>
      <w:r>
        <w:t xml:space="preserve">associée à cette valeur. Le dernier bâton du diagramme des fréquences cumulées aura nécessairement une hauteur égale à n si l’on représente les fréquences absolues, et une auteur égale à 1 si l’on représente les fréquences relatives. Une fois encore, l’allure générale du graphique est la même, que l’on représente les fréquences absolues ou relatives sur le diagramme. En revanche, l’information donnée est un petit peu différente: dans le premier cas, on peut dénombrer le nombre de ménages dont le nombre d’enfants atteint au maximum la valeur représentée par le bâtonnet, dans le second cas, on peut déterminer le pourcentage de ménages dont le nombre d’enfants atteint au maximum la valeur représentée par le bâtonnet.</w:t>
      </w:r>
    </w:p>
    <w:p>
      <w:pPr>
        <w:pStyle w:val="Corpsdetexte"/>
      </w:pPr>
      <w:r>
        <w:t xml:space="preserve">Figure 3.5</w:t>
      </w:r>
      <w:r>
        <w:br w:type="textWrapping"/>
      </w:r>
      <w:r>
        <w:rPr>
          <w:i/>
        </w:rPr>
        <w:t xml:space="preserve">Diagramme des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cum_data3.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arrive que l’on parle de</w:t>
      </w:r>
      <w:r>
        <w:t xml:space="preserve"> </w:t>
      </w:r>
      <w:r>
        <w:t xml:space="preserve">“</w:t>
      </w:r>
      <w:r>
        <w:t xml:space="preserve">diagramme en escalier</w:t>
      </w:r>
      <w:r>
        <w:t xml:space="preserve">”</w:t>
      </w:r>
      <w:r>
        <w:t xml:space="preserve">, et que l’on choisisse plutôt ce mode de représentation, dans lequel un point noir indique la fréquence associée à une catégorie en particulier. L’information fournie par les diagrammes en escalier et les diagrammes des fréquences cumulées est identique.</w:t>
      </w:r>
    </w:p>
    <w:p>
      <w:pPr>
        <w:pStyle w:val="Corpsdetexte"/>
      </w:pPr>
      <w:r>
        <w:t xml:space="preserve">Figure 3.6</w:t>
      </w:r>
      <w:r>
        <w:br w:type="textWrapping"/>
      </w:r>
      <w:r>
        <w:rPr>
          <w:i/>
        </w:rPr>
        <w:t xml:space="preserve">Diagramme en escalier représentant les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Enf_nb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itre3"/>
      </w:pPr>
      <w:bookmarkStart w:id="53" w:name="variables-quantitatives-continues"/>
      <w:bookmarkEnd w:id="53"/>
      <w:r>
        <w:t xml:space="preserve">Variables quantitatives continues</w:t>
      </w:r>
    </w:p>
    <w:p>
      <w:pPr>
        <w:pStyle w:val="Titre4"/>
      </w:pPr>
      <w:bookmarkStart w:id="54" w:name="simplification-des-donnees-1"/>
      <w:bookmarkEnd w:id="54"/>
      <w:r>
        <w:t xml:space="preserve">Simplification des données</w:t>
      </w:r>
    </w:p>
    <w:p>
      <w:pPr>
        <w:pStyle w:val="FirstParagraph"/>
      </w:pPr>
      <w:r>
        <w:t xml:space="preserve">Dans la mesure où les variables</w:t>
      </w:r>
      <w:r>
        <w:t xml:space="preserve"> </w:t>
      </w:r>
      <w:r>
        <w:rPr>
          <w:b/>
          <w:i/>
        </w:rPr>
        <w:t xml:space="preserve">continues</w:t>
      </w:r>
      <w:r>
        <w:t xml:space="preserve">, il n’est pas possible d’associer une fréquence à chaque valeur possible de la variable, similairement à ce que l’on fait pour des variables discrètes. On procédera alors à des regroupements des valeurs en classes (d’amplitude à déterminer), et on déterminera les fréquences associées à ces classes.</w:t>
      </w:r>
    </w:p>
    <w:p>
      <w:pPr>
        <w:pStyle w:val="Corpsdetexte"/>
      </w:pPr>
      <w:r>
        <w:t xml:space="preserve">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pPr>
        <w:pStyle w:val="Corpsdetexte"/>
      </w:pPr>
      <w:r>
        <w:t xml:space="preserve">Lorsque c’est possible, il est préférable d’utiliser des classes ayant toutes la même amplitude, tel que dans la Table 3.6 et la Table 3.7, notamment pour des raisons de lisibilité graphique. Cependant, il peut arriver que pour des raisons théoriques, nous soyons amenés à envisager des classes de tailles différentes. Par exemple, si l’on veut distinguer des caractéristiques de la petite enfance, enfance, adolescence, âge adulte et troisième âge, on pourra créer 5 classes: une regroupant les individus de 0 à 3 ans, de ceux de 3 à 12 ans , de 12 à 18 ans, 18 à 65 ans et de plus de 65 ans (voir la Table 3.8).</w:t>
      </w:r>
    </w:p>
    <w:p>
      <w:pPr>
        <w:pStyle w:val="Corpsdetexte"/>
      </w:pPr>
      <w:r>
        <w:t xml:space="preserve">Enfin, le</w:t>
      </w:r>
      <w:r>
        <w:t xml:space="preserve"> </w:t>
      </w:r>
      <w:r>
        <w:rPr>
          <w:b/>
        </w:rPr>
        <w:t xml:space="preserve">centre de classe</w:t>
      </w:r>
      <w:r>
        <w:t xml:space="preserve"> </w:t>
      </w:r>
      <w:r>
        <w:t xml:space="preserve">est la valeur qui se trouve à égale distance de la borne inférieure et de la borne supérieure d’une classe. Connaître cette valeur servira à estimer les</w:t>
      </w:r>
      <w:r>
        <w:t xml:space="preserve"> </w:t>
      </w:r>
      <w:r>
        <w:rPr>
          <w:b/>
        </w:rPr>
        <w:t xml:space="preserve">quantiles</w:t>
      </w:r>
      <w:r>
        <w:t xml:space="preserve"> </w:t>
      </w:r>
      <w:r>
        <w:t xml:space="preserve">de variables continues (ce concept sera très prochainement expliqué).</w:t>
      </w:r>
    </w:p>
    <w:p>
      <w:pPr>
        <w:pStyle w:val="Corpsdetexte"/>
      </w:pPr>
      <w:r>
        <w:t xml:space="preserve">Table 3.6</w:t>
      </w:r>
      <w:r>
        <w:br w:type="textWrapping"/>
      </w:r>
      <w:r>
        <w:rPr>
          <w:i/>
        </w:rPr>
        <w:t xml:space="preserve">Table des PIB par habitants de 45 pays d’Europe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 de 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[0-20000[</w:t>
            </w:r>
          </w:p>
        </w:tc>
        <w:tc>
          <w:p>
            <w:pPr>
              <w:pStyle w:val="Compact"/>
              <w:jc w:val="center"/>
            </w:pPr>
            <w:r>
              <w:t xml:space="preserve">10000</w:t>
            </w:r>
          </w:p>
        </w:tc>
        <w:tc>
          <w:p>
            <w:pPr>
              <w:pStyle w:val="Compact"/>
              <w:jc w:val="center"/>
            </w:pPr>
            <w:r>
              <w:t xml:space="preserve">20</w:t>
            </w:r>
          </w:p>
        </w:tc>
        <w:tc>
          <w:p>
            <w:pPr>
              <w:pStyle w:val="Compact"/>
              <w:jc w:val="center"/>
            </w:pPr>
            <w:r>
              <w:t xml:space="preserve">100</w:t>
            </w:r>
          </w:p>
        </w:tc>
        <w:tc>
          <w:p>
            <w:pPr>
              <w:pStyle w:val="Compact"/>
              <w:jc w:val="center"/>
            </w:pPr>
            <w:r>
              <w:t xml:space="preserve">20</w:t>
            </w:r>
          </w:p>
        </w:tc>
        <w:tc>
          <w:p>
            <w:pPr>
              <w:pStyle w:val="Compact"/>
              <w:jc w:val="center"/>
            </w:pPr>
            <w:r>
              <w:t xml:space="preserve">44.44</w:t>
            </w:r>
          </w:p>
        </w:tc>
      </w:tr>
      <w:tr>
        <w:tc>
          <w:p>
            <w:pPr>
              <w:pStyle w:val="Compact"/>
              <w:jc w:val="center"/>
            </w:pPr>
            <w:r>
              <w:t xml:space="preserve">[20000-40000[</w:t>
            </w:r>
          </w:p>
        </w:tc>
        <w:tc>
          <w:p>
            <w:pPr>
              <w:pStyle w:val="Compact"/>
              <w:jc w:val="center"/>
            </w:pPr>
            <w:r>
              <w:t xml:space="preserve">30000</w:t>
            </w:r>
          </w:p>
        </w:tc>
        <w:tc>
          <w:p>
            <w:pPr>
              <w:pStyle w:val="Compact"/>
              <w:jc w:val="center"/>
            </w:pPr>
            <w:r>
              <w:t xml:space="preserve">9</w:t>
            </w:r>
          </w:p>
        </w:tc>
        <w:tc>
          <w:p>
            <w:pPr>
              <w:pStyle w:val="Compact"/>
              <w:jc w:val="center"/>
            </w:pPr>
            <w:r>
              <w:t xml:space="preserve">100</w:t>
            </w:r>
          </w:p>
        </w:tc>
        <w:tc>
          <w:p>
            <w:pPr>
              <w:pStyle w:val="Compact"/>
              <w:jc w:val="center"/>
            </w:pPr>
            <w:r>
              <w:t xml:space="preserve">29</w:t>
            </w:r>
          </w:p>
        </w:tc>
        <w:tc>
          <w:p>
            <w:pPr>
              <w:pStyle w:val="Compact"/>
              <w:jc w:val="center"/>
            </w:pPr>
            <w:r>
              <w:t xml:space="preserve">64.44</w:t>
            </w:r>
          </w:p>
        </w:tc>
      </w:tr>
      <w:tr>
        <w:tc>
          <w:p>
            <w:pPr>
              <w:pStyle w:val="Compact"/>
              <w:jc w:val="center"/>
            </w:pPr>
            <w:r>
              <w:t xml:space="preserve">[40000-60000[</w:t>
            </w:r>
          </w:p>
        </w:tc>
        <w:tc>
          <w:p>
            <w:pPr>
              <w:pStyle w:val="Compact"/>
              <w:jc w:val="center"/>
            </w:pPr>
            <w:r>
              <w:t xml:space="preserve">50000</w:t>
            </w:r>
          </w:p>
        </w:tc>
        <w:tc>
          <w:p>
            <w:pPr>
              <w:pStyle w:val="Compact"/>
              <w:jc w:val="center"/>
            </w:pPr>
            <w:r>
              <w:t xml:space="preserve">11</w:t>
            </w:r>
          </w:p>
        </w:tc>
        <w:tc>
          <w:p>
            <w:pPr>
              <w:pStyle w:val="Compact"/>
              <w:jc w:val="center"/>
            </w:pPr>
            <w:r>
              <w:t xml:space="preserve">100</w:t>
            </w:r>
          </w:p>
        </w:tc>
        <w:tc>
          <w:p>
            <w:pPr>
              <w:pStyle w:val="Compact"/>
              <w:jc w:val="center"/>
            </w:pPr>
            <w:r>
              <w:t xml:space="preserve">40</w:t>
            </w:r>
          </w:p>
        </w:tc>
        <w:tc>
          <w:p>
            <w:pPr>
              <w:pStyle w:val="Compact"/>
              <w:jc w:val="center"/>
            </w:pPr>
            <w:r>
              <w:t xml:space="preserve">88.89</w:t>
            </w:r>
          </w:p>
        </w:tc>
      </w:tr>
      <w:tr>
        <w:tc>
          <w:p>
            <w:pPr>
              <w:pStyle w:val="Compact"/>
              <w:jc w:val="center"/>
            </w:pPr>
            <w:r>
              <w:t xml:space="preserve">[60000-80000[</w:t>
            </w:r>
          </w:p>
        </w:tc>
        <w:tc>
          <w:p>
            <w:pPr>
              <w:pStyle w:val="Compact"/>
              <w:jc w:val="center"/>
            </w:pPr>
            <w:r>
              <w:t xml:space="preserve">70000</w:t>
            </w:r>
          </w:p>
        </w:tc>
        <w:tc>
          <w:p>
            <w:pPr>
              <w:pStyle w:val="Compact"/>
              <w:jc w:val="center"/>
            </w:pPr>
            <w:r>
              <w:t xml:space="preserve">3</w:t>
            </w:r>
          </w:p>
        </w:tc>
        <w:tc>
          <w:p>
            <w:pPr>
              <w:pStyle w:val="Compact"/>
              <w:jc w:val="center"/>
            </w:pPr>
            <w:r>
              <w:t xml:space="preserve">100</w:t>
            </w:r>
          </w:p>
        </w:tc>
        <w:tc>
          <w:p>
            <w:pPr>
              <w:pStyle w:val="Compact"/>
              <w:jc w:val="center"/>
            </w:pPr>
            <w:r>
              <w:t xml:space="preserve">43</w:t>
            </w:r>
          </w:p>
        </w:tc>
        <w:tc>
          <w:p>
            <w:pPr>
              <w:pStyle w:val="Compact"/>
              <w:jc w:val="center"/>
            </w:pPr>
            <w:r>
              <w:t xml:space="preserve">95.56</w:t>
            </w:r>
          </w:p>
        </w:tc>
      </w:tr>
      <w:tr>
        <w:tc>
          <w:p>
            <w:pPr>
              <w:pStyle w:val="Compact"/>
              <w:jc w:val="center"/>
            </w:pPr>
            <w:r>
              <w:t xml:space="preserve">[80000-1e+05[</w:t>
            </w:r>
          </w:p>
        </w:tc>
        <w:tc>
          <w:p>
            <w:pPr>
              <w:pStyle w:val="Compact"/>
              <w:jc w:val="center"/>
            </w:pPr>
            <w:r>
              <w:t xml:space="preserve">90000</w:t>
            </w:r>
          </w:p>
        </w:tc>
        <w:tc>
          <w:p>
            <w:pPr>
              <w:pStyle w:val="Compact"/>
              <w:jc w:val="center"/>
            </w:pPr>
            <w:r>
              <w:t xml:space="preserve">1</w:t>
            </w:r>
          </w:p>
        </w:tc>
        <w:tc>
          <w:p>
            <w:pPr>
              <w:pStyle w:val="Compact"/>
              <w:jc w:val="center"/>
            </w:pPr>
            <w:r>
              <w:t xml:space="preserve">100</w:t>
            </w:r>
          </w:p>
        </w:tc>
        <w:tc>
          <w:p>
            <w:pPr>
              <w:pStyle w:val="Compact"/>
              <w:jc w:val="center"/>
            </w:pPr>
            <w:r>
              <w:t xml:space="preserve">44</w:t>
            </w:r>
          </w:p>
        </w:tc>
        <w:tc>
          <w:p>
            <w:pPr>
              <w:pStyle w:val="Compact"/>
              <w:jc w:val="center"/>
            </w:pPr>
            <w:r>
              <w:t xml:space="preserve">97.78</w:t>
            </w:r>
          </w:p>
        </w:tc>
      </w:tr>
      <w:tr>
        <w:tc>
          <w:p>
            <w:pPr>
              <w:pStyle w:val="Compact"/>
              <w:jc w:val="center"/>
            </w:pPr>
            <w:r>
              <w:t xml:space="preserve">[1e+05-120000[</w:t>
            </w:r>
          </w:p>
        </w:tc>
        <w:tc>
          <w:p>
            <w:pPr>
              <w:pStyle w:val="Compact"/>
              <w:jc w:val="center"/>
            </w:pPr>
            <w:r>
              <w:t xml:space="preserve">110000</w:t>
            </w:r>
          </w:p>
        </w:tc>
        <w:tc>
          <w:p>
            <w:pPr>
              <w:pStyle w:val="Compact"/>
              <w:jc w:val="center"/>
            </w:pPr>
            <w:r>
              <w:t xml:space="preserve">1</w:t>
            </w:r>
          </w:p>
        </w:tc>
        <w:tc>
          <w:p>
            <w:pPr>
              <w:pStyle w:val="Compact"/>
              <w:jc w:val="center"/>
            </w:pPr>
            <w:r>
              <w:t xml:space="preserve">100</w:t>
            </w:r>
          </w:p>
        </w:tc>
        <w:tc>
          <w:p>
            <w:pPr>
              <w:pStyle w:val="Compact"/>
              <w:jc w:val="center"/>
            </w:pPr>
            <w:r>
              <w:t xml:space="preserve">45</w:t>
            </w:r>
          </w:p>
        </w:tc>
        <w:tc>
          <w:p>
            <w:pPr>
              <w:pStyle w:val="Compact"/>
              <w:jc w:val="center"/>
            </w:pPr>
            <w:r>
              <w:t xml:space="preserve">100.00</w:t>
            </w:r>
          </w:p>
        </w:tc>
      </w:tr>
    </w:tbl>
    <w:p>
      <w:pPr>
        <w:pStyle w:val="Corpsdetexte"/>
      </w:pPr>
      <w:r>
        <w:t xml:space="preserve">Source:</w:t>
      </w:r>
      <w:r>
        <w:t xml:space="preserve"> </w:t>
      </w:r>
      <w:hyperlink r:id="rId55">
        <w:r>
          <w:rPr>
            <w:rStyle w:val="Lienhypertexte"/>
          </w:rPr>
          <w:t xml:space="preserve">https://fr.tradingeconomics.com/country-list/gdp-per-capitaécontinent=europe</w:t>
        </w:r>
      </w:hyperlink>
    </w:p>
    <w:p>
      <w:pPr>
        <w:pStyle w:val="Corpsdetexte"/>
      </w:pPr>
      <w:r>
        <w:t xml:space="preserve">Table 3.7</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[0-10[</w:t>
            </w:r>
          </w:p>
        </w:tc>
        <w:tc>
          <w:p>
            <w:pPr>
              <w:pStyle w:val="Compact"/>
              <w:jc w:val="center"/>
            </w:pPr>
            <w:r>
              <w:t xml:space="preserve">5</w:t>
            </w:r>
          </w:p>
        </w:tc>
        <w:tc>
          <w:p>
            <w:pPr>
              <w:pStyle w:val="Compact"/>
              <w:jc w:val="center"/>
            </w:pPr>
            <w:r>
              <w:t xml:space="preserve">2994</w:t>
            </w:r>
          </w:p>
        </w:tc>
        <w:tc>
          <w:p>
            <w:pPr>
              <w:pStyle w:val="Compact"/>
              <w:jc w:val="center"/>
            </w:pPr>
            <w:r>
              <w:t xml:space="preserve">14.97</w:t>
            </w:r>
          </w:p>
        </w:tc>
        <w:tc>
          <w:p>
            <w:pPr>
              <w:pStyle w:val="Compact"/>
              <w:jc w:val="center"/>
            </w:pPr>
            <w:r>
              <w:t xml:space="preserve">2994</w:t>
            </w:r>
          </w:p>
        </w:tc>
        <w:tc>
          <w:p>
            <w:pPr>
              <w:pStyle w:val="Compact"/>
              <w:jc w:val="center"/>
            </w:pPr>
            <w:r>
              <w:t xml:space="preserve">14.97</w:t>
            </w:r>
          </w:p>
        </w:tc>
      </w:tr>
      <w:tr>
        <w:tc>
          <w:p>
            <w:pPr>
              <w:pStyle w:val="Compact"/>
              <w:jc w:val="center"/>
            </w:pPr>
            <w:r>
              <w:t xml:space="preserve">[10-20[</w:t>
            </w:r>
          </w:p>
        </w:tc>
        <w:tc>
          <w:p>
            <w:pPr>
              <w:pStyle w:val="Compact"/>
              <w:jc w:val="center"/>
            </w:pPr>
            <w:r>
              <w:t xml:space="preserve">15</w:t>
            </w:r>
          </w:p>
        </w:tc>
        <w:tc>
          <w:p>
            <w:pPr>
              <w:pStyle w:val="Compact"/>
              <w:jc w:val="center"/>
            </w:pPr>
            <w:r>
              <w:t xml:space="preserve">3006</w:t>
            </w:r>
          </w:p>
        </w:tc>
        <w:tc>
          <w:p>
            <w:pPr>
              <w:pStyle w:val="Compact"/>
              <w:jc w:val="center"/>
            </w:pPr>
            <w:r>
              <w:t xml:space="preserve">15.03</w:t>
            </w:r>
          </w:p>
        </w:tc>
        <w:tc>
          <w:p>
            <w:pPr>
              <w:pStyle w:val="Compact"/>
              <w:jc w:val="center"/>
            </w:pPr>
            <w:r>
              <w:t xml:space="preserve">6000</w:t>
            </w:r>
          </w:p>
        </w:tc>
        <w:tc>
          <w:p>
            <w:pPr>
              <w:pStyle w:val="Compact"/>
              <w:jc w:val="center"/>
            </w:pPr>
            <w:r>
              <w:t xml:space="preserve">30.00</w:t>
            </w:r>
          </w:p>
        </w:tc>
      </w:tr>
      <w:tr>
        <w:tc>
          <w:p>
            <w:pPr>
              <w:pStyle w:val="Compact"/>
              <w:jc w:val="center"/>
            </w:pPr>
            <w:r>
              <w:t xml:space="preserve">[20-30[</w:t>
            </w:r>
          </w:p>
        </w:tc>
        <w:tc>
          <w:p>
            <w:pPr>
              <w:pStyle w:val="Compact"/>
              <w:jc w:val="center"/>
            </w:pPr>
            <w:r>
              <w:t xml:space="preserve">25</w:t>
            </w:r>
          </w:p>
        </w:tc>
        <w:tc>
          <w:p>
            <w:pPr>
              <w:pStyle w:val="Compact"/>
              <w:jc w:val="center"/>
            </w:pPr>
            <w:r>
              <w:t xml:space="preserve">3455</w:t>
            </w:r>
          </w:p>
        </w:tc>
        <w:tc>
          <w:p>
            <w:pPr>
              <w:pStyle w:val="Compact"/>
              <w:jc w:val="center"/>
            </w:pPr>
            <w:r>
              <w:t xml:space="preserve">17.27</w:t>
            </w:r>
          </w:p>
        </w:tc>
        <w:tc>
          <w:p>
            <w:pPr>
              <w:pStyle w:val="Compact"/>
              <w:jc w:val="center"/>
            </w:pPr>
            <w:r>
              <w:t xml:space="preserve">9455</w:t>
            </w:r>
          </w:p>
        </w:tc>
        <w:tc>
          <w:p>
            <w:pPr>
              <w:pStyle w:val="Compact"/>
              <w:jc w:val="center"/>
            </w:pPr>
            <w:r>
              <w:t xml:space="preserve">47.27</w:t>
            </w:r>
          </w:p>
        </w:tc>
      </w:tr>
      <w:tr>
        <w:tc>
          <w:p>
            <w:pPr>
              <w:pStyle w:val="Compact"/>
              <w:jc w:val="center"/>
            </w:pPr>
            <w:r>
              <w:t xml:space="preserve">[30-40[</w:t>
            </w:r>
          </w:p>
        </w:tc>
        <w:tc>
          <w:p>
            <w:pPr>
              <w:pStyle w:val="Compact"/>
              <w:jc w:val="center"/>
            </w:pPr>
            <w:r>
              <w:t xml:space="preserve">35</w:t>
            </w:r>
          </w:p>
        </w:tc>
        <w:tc>
          <w:p>
            <w:pPr>
              <w:pStyle w:val="Compact"/>
              <w:jc w:val="center"/>
            </w:pPr>
            <w:r>
              <w:t xml:space="preserve">2304</w:t>
            </w:r>
          </w:p>
        </w:tc>
        <w:tc>
          <w:p>
            <w:pPr>
              <w:pStyle w:val="Compact"/>
              <w:jc w:val="center"/>
            </w:pPr>
            <w:r>
              <w:t xml:space="preserve">11.52</w:t>
            </w:r>
          </w:p>
        </w:tc>
        <w:tc>
          <w:p>
            <w:pPr>
              <w:pStyle w:val="Compact"/>
              <w:jc w:val="center"/>
            </w:pPr>
            <w:r>
              <w:t xml:space="preserve">11759</w:t>
            </w:r>
          </w:p>
        </w:tc>
        <w:tc>
          <w:p>
            <w:pPr>
              <w:pStyle w:val="Compact"/>
              <w:jc w:val="center"/>
            </w:pPr>
            <w:r>
              <w:t xml:space="preserve">58.80</w:t>
            </w:r>
          </w:p>
        </w:tc>
      </w:tr>
      <w:tr>
        <w:tc>
          <w:p>
            <w:pPr>
              <w:pStyle w:val="Compact"/>
              <w:jc w:val="center"/>
            </w:pPr>
            <w:r>
              <w:t xml:space="preserve">[40-50[</w:t>
            </w:r>
          </w:p>
        </w:tc>
        <w:tc>
          <w:p>
            <w:pPr>
              <w:pStyle w:val="Compact"/>
              <w:jc w:val="center"/>
            </w:pPr>
            <w:r>
              <w:t xml:space="preserve">45</w:t>
            </w:r>
          </w:p>
        </w:tc>
        <w:tc>
          <w:p>
            <w:pPr>
              <w:pStyle w:val="Compact"/>
              <w:jc w:val="center"/>
            </w:pPr>
            <w:r>
              <w:t xml:space="preserve">1732</w:t>
            </w:r>
          </w:p>
        </w:tc>
        <w:tc>
          <w:p>
            <w:pPr>
              <w:pStyle w:val="Compact"/>
              <w:jc w:val="center"/>
            </w:pPr>
            <w:r>
              <w:t xml:space="preserve">8.66</w:t>
            </w:r>
          </w:p>
        </w:tc>
        <w:tc>
          <w:p>
            <w:pPr>
              <w:pStyle w:val="Compact"/>
              <w:jc w:val="center"/>
            </w:pPr>
            <w:r>
              <w:t xml:space="preserve">13491</w:t>
            </w:r>
          </w:p>
        </w:tc>
        <w:tc>
          <w:p>
            <w:pPr>
              <w:pStyle w:val="Compact"/>
              <w:jc w:val="center"/>
            </w:pPr>
            <w:r>
              <w:t xml:space="preserve">67.45</w:t>
            </w:r>
          </w:p>
        </w:tc>
      </w:tr>
      <w:tr>
        <w:tc>
          <w:p>
            <w:pPr>
              <w:pStyle w:val="Compact"/>
              <w:jc w:val="center"/>
            </w:pPr>
            <w:r>
              <w:t xml:space="preserve">[50-60[</w:t>
            </w:r>
          </w:p>
        </w:tc>
        <w:tc>
          <w:p>
            <w:pPr>
              <w:pStyle w:val="Compact"/>
              <w:jc w:val="center"/>
            </w:pPr>
            <w:r>
              <w:t xml:space="preserve">55</w:t>
            </w:r>
          </w:p>
        </w:tc>
        <w:tc>
          <w:p>
            <w:pPr>
              <w:pStyle w:val="Compact"/>
              <w:jc w:val="center"/>
            </w:pPr>
            <w:r>
              <w:t xml:space="preserve">2016</w:t>
            </w:r>
          </w:p>
        </w:tc>
        <w:tc>
          <w:p>
            <w:pPr>
              <w:pStyle w:val="Compact"/>
              <w:jc w:val="center"/>
            </w:pPr>
            <w:r>
              <w:t xml:space="preserve">10.08</w:t>
            </w:r>
          </w:p>
        </w:tc>
        <w:tc>
          <w:p>
            <w:pPr>
              <w:pStyle w:val="Compact"/>
              <w:jc w:val="center"/>
            </w:pPr>
            <w:r>
              <w:t xml:space="preserve">15507</w:t>
            </w:r>
          </w:p>
        </w:tc>
        <w:tc>
          <w:p>
            <w:pPr>
              <w:pStyle w:val="Compact"/>
              <w:jc w:val="center"/>
            </w:pPr>
            <w:r>
              <w:t xml:space="preserve">77.53</w:t>
            </w:r>
          </w:p>
        </w:tc>
      </w:tr>
      <w:tr>
        <w:tc>
          <w:p>
            <w:pPr>
              <w:pStyle w:val="Compact"/>
              <w:jc w:val="center"/>
            </w:pPr>
            <w:r>
              <w:t xml:space="preserve">[60-70[</w:t>
            </w:r>
          </w:p>
        </w:tc>
        <w:tc>
          <w:p>
            <w:pPr>
              <w:pStyle w:val="Compact"/>
              <w:jc w:val="center"/>
            </w:pPr>
            <w:r>
              <w:t xml:space="preserve">65</w:t>
            </w:r>
          </w:p>
        </w:tc>
        <w:tc>
          <w:p>
            <w:pPr>
              <w:pStyle w:val="Compact"/>
              <w:jc w:val="center"/>
            </w:pPr>
            <w:r>
              <w:t xml:space="preserve">1794</w:t>
            </w:r>
          </w:p>
        </w:tc>
        <w:tc>
          <w:p>
            <w:pPr>
              <w:pStyle w:val="Compact"/>
              <w:jc w:val="center"/>
            </w:pPr>
            <w:r>
              <w:t xml:space="preserve">8.97</w:t>
            </w:r>
          </w:p>
        </w:tc>
        <w:tc>
          <w:p>
            <w:pPr>
              <w:pStyle w:val="Compact"/>
              <w:jc w:val="center"/>
            </w:pPr>
            <w:r>
              <w:t xml:space="preserve">17301</w:t>
            </w:r>
          </w:p>
        </w:tc>
        <w:tc>
          <w:p>
            <w:pPr>
              <w:pStyle w:val="Compact"/>
              <w:jc w:val="center"/>
            </w:pPr>
            <w:r>
              <w:t xml:space="preserve">86.50</w:t>
            </w:r>
          </w:p>
        </w:tc>
      </w:tr>
      <w:tr>
        <w:tc>
          <w:p>
            <w:pPr>
              <w:pStyle w:val="Compact"/>
              <w:jc w:val="center"/>
            </w:pPr>
            <w:r>
              <w:t xml:space="preserve">[70-80[</w:t>
            </w:r>
          </w:p>
        </w:tc>
        <w:tc>
          <w:p>
            <w:pPr>
              <w:pStyle w:val="Compact"/>
              <w:jc w:val="center"/>
            </w:pPr>
            <w:r>
              <w:t xml:space="preserve">75</w:t>
            </w:r>
          </w:p>
        </w:tc>
        <w:tc>
          <w:p>
            <w:pPr>
              <w:pStyle w:val="Compact"/>
              <w:jc w:val="center"/>
            </w:pPr>
            <w:r>
              <w:t xml:space="preserve">699</w:t>
            </w:r>
          </w:p>
        </w:tc>
        <w:tc>
          <w:p>
            <w:pPr>
              <w:pStyle w:val="Compact"/>
              <w:jc w:val="center"/>
            </w:pPr>
            <w:r>
              <w:t xml:space="preserve">3.50</w:t>
            </w:r>
          </w:p>
        </w:tc>
        <w:tc>
          <w:p>
            <w:pPr>
              <w:pStyle w:val="Compact"/>
              <w:jc w:val="center"/>
            </w:pPr>
            <w:r>
              <w:t xml:space="preserve">18000</w:t>
            </w:r>
          </w:p>
        </w:tc>
        <w:tc>
          <w:p>
            <w:pPr>
              <w:pStyle w:val="Compact"/>
              <w:jc w:val="center"/>
            </w:pPr>
            <w:r>
              <w:t xml:space="preserve">90.00</w:t>
            </w:r>
          </w:p>
        </w:tc>
      </w:tr>
      <w:tr>
        <w:tc>
          <w:p>
            <w:pPr>
              <w:pStyle w:val="Compact"/>
              <w:jc w:val="center"/>
            </w:pPr>
            <w:r>
              <w:t xml:space="preserve">[80-90[</w:t>
            </w:r>
          </w:p>
        </w:tc>
        <w:tc>
          <w:p>
            <w:pPr>
              <w:pStyle w:val="Compact"/>
              <w:jc w:val="center"/>
            </w:pPr>
            <w:r>
              <w:t xml:space="preserve">85</w:t>
            </w:r>
          </w:p>
        </w:tc>
        <w:tc>
          <w:p>
            <w:pPr>
              <w:pStyle w:val="Compact"/>
              <w:jc w:val="center"/>
            </w:pPr>
            <w:r>
              <w:t xml:space="preserve">1051</w:t>
            </w:r>
          </w:p>
        </w:tc>
        <w:tc>
          <w:p>
            <w:pPr>
              <w:pStyle w:val="Compact"/>
              <w:jc w:val="center"/>
            </w:pPr>
            <w:r>
              <w:t xml:space="preserve">5.25</w:t>
            </w:r>
          </w:p>
        </w:tc>
        <w:tc>
          <w:p>
            <w:pPr>
              <w:pStyle w:val="Compact"/>
              <w:jc w:val="center"/>
            </w:pPr>
            <w:r>
              <w:t xml:space="preserve">19051</w:t>
            </w:r>
          </w:p>
        </w:tc>
        <w:tc>
          <w:p>
            <w:pPr>
              <w:pStyle w:val="Compact"/>
              <w:jc w:val="center"/>
            </w:pPr>
            <w:r>
              <w:t xml:space="preserve">95.25</w:t>
            </w:r>
          </w:p>
        </w:tc>
      </w:tr>
      <w:tr>
        <w:tc>
          <w:p>
            <w:pPr>
              <w:pStyle w:val="Compact"/>
              <w:jc w:val="center"/>
            </w:pPr>
            <w:r>
              <w:t xml:space="preserve">[90-100[</w:t>
            </w:r>
          </w:p>
        </w:tc>
        <w:tc>
          <w:p>
            <w:pPr>
              <w:pStyle w:val="Compact"/>
              <w:jc w:val="center"/>
            </w:pPr>
            <w:r>
              <w:t xml:space="preserve">95</w:t>
            </w:r>
          </w:p>
        </w:tc>
        <w:tc>
          <w:p>
            <w:pPr>
              <w:pStyle w:val="Compact"/>
              <w:jc w:val="center"/>
            </w:pPr>
            <w:r>
              <w:t xml:space="preserve">749</w:t>
            </w:r>
          </w:p>
        </w:tc>
        <w:tc>
          <w:p>
            <w:pPr>
              <w:pStyle w:val="Compact"/>
              <w:jc w:val="center"/>
            </w:pPr>
            <w:r>
              <w:t xml:space="preserve">3.74</w:t>
            </w:r>
          </w:p>
        </w:tc>
        <w:tc>
          <w:p>
            <w:pPr>
              <w:pStyle w:val="Compact"/>
              <w:jc w:val="center"/>
            </w:pPr>
            <w:r>
              <w:t xml:space="preserve">19800</w:t>
            </w:r>
          </w:p>
        </w:tc>
        <w:tc>
          <w:p>
            <w:pPr>
              <w:pStyle w:val="Compact"/>
              <w:jc w:val="center"/>
            </w:pPr>
            <w:r>
              <w:t xml:space="preserve">99.00</w:t>
            </w:r>
          </w:p>
        </w:tc>
      </w:tr>
      <w:tr>
        <w:tc>
          <w:p>
            <w:pPr>
              <w:pStyle w:val="Compact"/>
              <w:jc w:val="center"/>
            </w:pPr>
            <w:r>
              <w:t xml:space="preserve">[100-110[</w:t>
            </w:r>
          </w:p>
        </w:tc>
        <w:tc>
          <w:p>
            <w:pPr>
              <w:pStyle w:val="Compact"/>
              <w:jc w:val="center"/>
            </w:pPr>
            <w:r>
              <w:t xml:space="preserve">105</w:t>
            </w:r>
          </w:p>
        </w:tc>
        <w:tc>
          <w:p>
            <w:pPr>
              <w:pStyle w:val="Compact"/>
              <w:jc w:val="center"/>
            </w:pPr>
            <w:r>
              <w:t xml:space="preserve">200</w:t>
            </w:r>
          </w:p>
        </w:tc>
        <w:tc>
          <w:p>
            <w:pPr>
              <w:pStyle w:val="Compact"/>
              <w:jc w:val="center"/>
            </w:pPr>
            <w:r>
              <w:t xml:space="preserve">1.00</w:t>
            </w:r>
          </w:p>
        </w:tc>
        <w:tc>
          <w:p>
            <w:pPr>
              <w:pStyle w:val="Compact"/>
              <w:jc w:val="center"/>
            </w:pPr>
            <w:r>
              <w:t xml:space="preserve">20000</w:t>
            </w:r>
          </w:p>
        </w:tc>
        <w:tc>
          <w:p>
            <w:pPr>
              <w:pStyle w:val="Compact"/>
              <w:jc w:val="center"/>
            </w:pPr>
            <w:r>
              <w:t xml:space="preserve">100.00</w:t>
            </w:r>
          </w:p>
        </w:tc>
      </w:tr>
    </w:tbl>
    <w:p>
      <w:pPr>
        <w:pStyle w:val="Corpsdetexte"/>
      </w:pPr>
      <w:r>
        <w:t xml:space="preserve">Table 3.8</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[0-3[</w:t>
            </w:r>
          </w:p>
        </w:tc>
        <w:tc>
          <w:p>
            <w:pPr>
              <w:pStyle w:val="Compact"/>
              <w:jc w:val="center"/>
            </w:pPr>
            <w:r>
              <w:t xml:space="preserve">1.5</w:t>
            </w:r>
          </w:p>
        </w:tc>
        <w:tc>
          <w:p>
            <w:pPr>
              <w:pStyle w:val="Compact"/>
              <w:jc w:val="center"/>
            </w:pPr>
            <w:r>
              <w:t xml:space="preserve">1450</w:t>
            </w:r>
          </w:p>
        </w:tc>
        <w:tc>
          <w:p>
            <w:pPr>
              <w:pStyle w:val="Compact"/>
              <w:jc w:val="center"/>
            </w:pPr>
            <w:r>
              <w:t xml:space="preserve">7.25</w:t>
            </w:r>
          </w:p>
        </w:tc>
        <w:tc>
          <w:p>
            <w:pPr>
              <w:pStyle w:val="Compact"/>
              <w:jc w:val="center"/>
            </w:pPr>
            <w:r>
              <w:t xml:space="preserve">1450</w:t>
            </w:r>
          </w:p>
        </w:tc>
        <w:tc>
          <w:p>
            <w:pPr>
              <w:pStyle w:val="Compact"/>
              <w:jc w:val="center"/>
            </w:pPr>
            <w:r>
              <w:t xml:space="preserve">7.25</w:t>
            </w:r>
          </w:p>
        </w:tc>
      </w:tr>
      <w:tr>
        <w:tc>
          <w:p>
            <w:pPr>
              <w:pStyle w:val="Compact"/>
              <w:jc w:val="center"/>
            </w:pPr>
            <w:r>
              <w:t xml:space="preserve">[3-12[</w:t>
            </w:r>
          </w:p>
        </w:tc>
        <w:tc>
          <w:p>
            <w:pPr>
              <w:pStyle w:val="Compact"/>
              <w:jc w:val="center"/>
            </w:pPr>
            <w:r>
              <w:t xml:space="preserve">7.5</w:t>
            </w:r>
          </w:p>
        </w:tc>
        <w:tc>
          <w:p>
            <w:pPr>
              <w:pStyle w:val="Compact"/>
              <w:jc w:val="center"/>
            </w:pPr>
            <w:r>
              <w:t xml:space="preserve">2001</w:t>
            </w:r>
          </w:p>
        </w:tc>
        <w:tc>
          <w:p>
            <w:pPr>
              <w:pStyle w:val="Compact"/>
              <w:jc w:val="center"/>
            </w:pPr>
            <w:r>
              <w:t xml:space="preserve">10.01</w:t>
            </w:r>
          </w:p>
        </w:tc>
        <w:tc>
          <w:p>
            <w:pPr>
              <w:pStyle w:val="Compact"/>
              <w:jc w:val="center"/>
            </w:pPr>
            <w:r>
              <w:t xml:space="preserve">3451</w:t>
            </w:r>
          </w:p>
        </w:tc>
        <w:tc>
          <w:p>
            <w:pPr>
              <w:pStyle w:val="Compact"/>
              <w:jc w:val="center"/>
            </w:pPr>
            <w:r>
              <w:t xml:space="preserve">17.25</w:t>
            </w:r>
          </w:p>
        </w:tc>
      </w:tr>
      <w:tr>
        <w:tc>
          <w:p>
            <w:pPr>
              <w:pStyle w:val="Compact"/>
              <w:jc w:val="center"/>
            </w:pPr>
            <w:r>
              <w:t xml:space="preserve">[12-18[</w:t>
            </w:r>
          </w:p>
        </w:tc>
        <w:tc>
          <w:p>
            <w:pPr>
              <w:pStyle w:val="Compact"/>
              <w:jc w:val="center"/>
            </w:pPr>
            <w:r>
              <w:t xml:space="preserve">15.0</w:t>
            </w:r>
          </w:p>
        </w:tc>
        <w:tc>
          <w:p>
            <w:pPr>
              <w:pStyle w:val="Compact"/>
              <w:jc w:val="center"/>
            </w:pPr>
            <w:r>
              <w:t xml:space="preserve">1999</w:t>
            </w:r>
          </w:p>
        </w:tc>
        <w:tc>
          <w:p>
            <w:pPr>
              <w:pStyle w:val="Compact"/>
              <w:jc w:val="center"/>
            </w:pPr>
            <w:r>
              <w:t xml:space="preserve">9.99</w:t>
            </w:r>
          </w:p>
        </w:tc>
        <w:tc>
          <w:p>
            <w:pPr>
              <w:pStyle w:val="Compact"/>
              <w:jc w:val="center"/>
            </w:pPr>
            <w:r>
              <w:t xml:space="preserve">5450</w:t>
            </w:r>
          </w:p>
        </w:tc>
        <w:tc>
          <w:p>
            <w:pPr>
              <w:pStyle w:val="Compact"/>
              <w:jc w:val="center"/>
            </w:pPr>
            <w:r>
              <w:t xml:space="preserve">27.25</w:t>
            </w:r>
          </w:p>
        </w:tc>
      </w:tr>
      <w:tr>
        <w:tc>
          <w:p>
            <w:pPr>
              <w:pStyle w:val="Compact"/>
              <w:jc w:val="center"/>
            </w:pPr>
            <w:r>
              <w:t xml:space="preserve">[18-65[</w:t>
            </w:r>
          </w:p>
        </w:tc>
        <w:tc>
          <w:p>
            <w:pPr>
              <w:pStyle w:val="Compact"/>
              <w:jc w:val="center"/>
            </w:pPr>
            <w:r>
              <w:t xml:space="preserve">41.5</w:t>
            </w:r>
          </w:p>
        </w:tc>
        <w:tc>
          <w:p>
            <w:pPr>
              <w:pStyle w:val="Compact"/>
              <w:jc w:val="center"/>
            </w:pPr>
            <w:r>
              <w:t xml:space="preserve">11501</w:t>
            </w:r>
          </w:p>
        </w:tc>
        <w:tc>
          <w:p>
            <w:pPr>
              <w:pStyle w:val="Compact"/>
              <w:jc w:val="center"/>
            </w:pPr>
            <w:r>
              <w:t xml:space="preserve">57.50</w:t>
            </w:r>
          </w:p>
        </w:tc>
        <w:tc>
          <w:p>
            <w:pPr>
              <w:pStyle w:val="Compact"/>
              <w:jc w:val="center"/>
            </w:pPr>
            <w:r>
              <w:t xml:space="preserve">16951</w:t>
            </w:r>
          </w:p>
        </w:tc>
        <w:tc>
          <w:p>
            <w:pPr>
              <w:pStyle w:val="Compact"/>
              <w:jc w:val="center"/>
            </w:pPr>
            <w:r>
              <w:t xml:space="preserve">84.75</w:t>
            </w:r>
          </w:p>
        </w:tc>
      </w:tr>
      <w:tr>
        <w:tc>
          <w:p>
            <w:pPr>
              <w:pStyle w:val="Compact"/>
              <w:jc w:val="center"/>
            </w:pPr>
            <w:r>
              <w:t xml:space="preserve">[65-110[</w:t>
            </w:r>
          </w:p>
        </w:tc>
        <w:tc>
          <w:p>
            <w:pPr>
              <w:pStyle w:val="Compact"/>
              <w:jc w:val="center"/>
            </w:pPr>
            <w:r>
              <w:t xml:space="preserve">87.5</w:t>
            </w:r>
          </w:p>
        </w:tc>
        <w:tc>
          <w:p>
            <w:pPr>
              <w:pStyle w:val="Compact"/>
              <w:jc w:val="center"/>
            </w:pPr>
            <w:r>
              <w:t xml:space="preserve">3049</w:t>
            </w:r>
          </w:p>
        </w:tc>
        <w:tc>
          <w:p>
            <w:pPr>
              <w:pStyle w:val="Compact"/>
              <w:jc w:val="center"/>
            </w:pPr>
            <w:r>
              <w:t xml:space="preserve">15.25</w:t>
            </w:r>
          </w:p>
        </w:tc>
        <w:tc>
          <w:p>
            <w:pPr>
              <w:pStyle w:val="Compact"/>
              <w:jc w:val="center"/>
            </w:pPr>
            <w:r>
              <w:t xml:space="preserve">20000</w:t>
            </w:r>
          </w:p>
        </w:tc>
        <w:tc>
          <w:p>
            <w:pPr>
              <w:pStyle w:val="Compact"/>
              <w:jc w:val="center"/>
            </w:pPr>
            <w:r>
              <w:t xml:space="preserve">100.00</w:t>
            </w:r>
          </w:p>
        </w:tc>
      </w:tr>
    </w:tbl>
    <w:p>
      <w:pPr>
        <w:pStyle w:val="Titre4"/>
      </w:pPr>
      <w:bookmarkStart w:id="56" w:name="realisation-graphique-1"/>
      <w:bookmarkEnd w:id="56"/>
      <w:r>
        <w:t xml:space="preserve">Réalisation graphique</w:t>
      </w:r>
    </w:p>
    <w:p>
      <w:pPr>
        <w:pStyle w:val="Titre5"/>
      </w:pPr>
      <w:bookmarkStart w:id="57" w:name="histogramme"/>
      <w:bookmarkEnd w:id="57"/>
      <w:r>
        <w:t xml:space="preserve">Histogramme</w:t>
      </w:r>
    </w:p>
    <w:p>
      <w:pPr>
        <w:pStyle w:val="FirstParagraph"/>
      </w:pPr>
      <w:r>
        <w:t xml:space="preserve">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pPr>
        <w:pStyle w:val="Corpsdetexte"/>
      </w:pPr>
      <w:r>
        <w:t xml:space="preserve">Les classes de valeurs sont représentées en abcisse. Lorsque toutes les classes sont de taille égale, la hauteur des rectangles est proportionnelle aux fréquences (absolues ou relatives; les fréquences correspondent à l’ordonnée), tel qu’on peut le voir dans la Figure 3.3 ainsi que dans la Figure 3.8 .</w:t>
      </w:r>
    </w:p>
    <w:p>
      <w:pPr>
        <w:pStyle w:val="Corpsdetexte"/>
      </w:pPr>
      <w:r>
        <w:t xml:space="preserve">Figure 3.7</w:t>
      </w:r>
      <w:r>
        <w:br w:type="textWrapping"/>
      </w:r>
      <w:r>
        <w:rPr>
          <w:i/>
        </w:rPr>
        <w:t xml:space="preserve">Histogramme de la distribution de la Table 3.6</w:t>
      </w:r>
      <w:r>
        <w:t xml:space="preserve"> </w:t>
      </w:r>
      <w:r>
        <w:drawing>
          <wp:inline>
            <wp:extent cx="4620126" cy="3696101"/>
            <wp:effectExtent b="0" l="0" r="0" t="0"/>
            <wp:docPr descr="" title="" id="1" name="Picture"/>
            <a:graphic>
              <a:graphicData uri="http://schemas.openxmlformats.org/drawingml/2006/picture">
                <pic:pic>
                  <pic:nvPicPr>
                    <pic:cNvPr descr="Syll_files/figure-docx/PIB-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3.8</w:t>
      </w:r>
      <w:r>
        <w:br w:type="textWrapping"/>
      </w:r>
      <w:r>
        <w:rPr>
          <w:i/>
        </w:rPr>
        <w:t xml:space="preserve">Histogramme de la distribution de la Table 3.7</w:t>
      </w:r>
      <w:r>
        <w:t xml:space="preserve"> </w:t>
      </w:r>
      <w:r>
        <w:drawing>
          <wp:inline>
            <wp:extent cx="4620126" cy="3696101"/>
            <wp:effectExtent b="0" l="0" r="0" t="0"/>
            <wp:docPr descr="" title="" id="1" name="Picture"/>
            <a:graphic>
              <a:graphicData uri="http://schemas.openxmlformats.org/drawingml/2006/picture">
                <pic:pic>
                  <pic:nvPicPr>
                    <pic:cNvPr descr="Syll_files/figure-docx/Agea-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Par contre, lorsque les classes sont de tailles inégales, la hauteur du rectancle est proportionnelle à la densité de la classe (soit l’effectif divisé par l’amplitude de la classe), ce qui rend la comparaison des fréquences des classes plus compliquée.</w:t>
      </w:r>
    </w:p>
    <w:p>
      <w:pPr>
        <w:pStyle w:val="Corpsdetexte"/>
      </w:pPr>
      <m:oMath>
        <m:sSub>
          <m:e>
            <m:r>
              <m:t>h</m:t>
            </m:r>
          </m:e>
          <m:sub>
            <m:r>
              <m:t>i</m:t>
            </m:r>
          </m:sub>
        </m:sSub>
        <m:r>
          <m:t>=</m:t>
        </m:r>
        <m:f>
          <m:fPr>
            <m:type m:val="bar"/>
          </m:fPr>
          <m:num>
            <m:sSub>
              <m:e>
                <m:r>
                  <m:t>n</m:t>
                </m:r>
              </m:e>
              <m:sub>
                <m:r>
                  <m:t>i</m:t>
                </m:r>
              </m:sub>
            </m:sSub>
          </m:num>
          <m:den>
            <m:sSub>
              <m:e>
                <m:r>
                  <m:t>a</m:t>
                </m:r>
              </m:e>
              <m:sub>
                <m:r>
                  <m:t>i</m:t>
                </m:r>
              </m:sub>
            </m:sSub>
          </m:den>
        </m:f>
      </m:oMath>
    </w:p>
    <w:p>
      <w:pPr>
        <w:pStyle w:val="Corpsdetexte"/>
      </w:pPr>
      <w:r>
        <w:t xml:space="preserve">Figure 3.9</w:t>
      </w:r>
      <w:r>
        <w:t xml:space="preserve"> </w:t>
      </w:r>
      <w:r>
        <w:rPr>
          <w:i/>
        </w:rPr>
        <w:t xml:space="preserve">Histogramme de la distribution de la Table 3.8</w:t>
      </w:r>
      <w:r>
        <w:t xml:space="preserve"> </w:t>
      </w:r>
      <w:r>
        <w:drawing>
          <wp:inline>
            <wp:extent cx="4620126" cy="3696101"/>
            <wp:effectExtent b="0" l="0" r="0" t="0"/>
            <wp:docPr descr="" title="" id="1" name="Picture"/>
            <a:graphic>
              <a:graphicData uri="http://schemas.openxmlformats.org/drawingml/2006/picture">
                <pic:pic>
                  <pic:nvPicPr>
                    <pic:cNvPr descr="Syll_files/figure-docx/ageb-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les données sont continues, cela signifie que toutes les valeurs de la variable représentée sont considérées comme possibles. Par exemple, le premier rectangle de la Figure 3.8 englobe toutes les personnes dont l’âge est compris entre 0 et 10 ans (incluant les personnes ayant 2,38574 ans), et lorsque je me déplace du premier centre de classe vers le deuxième centre de classe, j’envisage n’importe quelle valeur comprise entre 5 et 15. Pour mieux rendre compte de la continuité de la variable, on peut tracer ce qu’on appelle le</w:t>
      </w:r>
      <w:r>
        <w:t xml:space="preserve"> </w:t>
      </w:r>
      <w:r>
        <w:rPr>
          <w:b/>
        </w:rPr>
        <w:t xml:space="preserve">polygone des effectifs</w:t>
      </w:r>
      <w:r>
        <w:t xml:space="preserve">, en reliant par des segments de droite le centre du côté supérieur de chaque rectangle.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PIB-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3.12</w:t>
      </w:r>
      <w:r>
        <w:br w:type="textWrapping"/>
      </w:r>
      <w:r>
        <w:rPr>
          <w:i/>
        </w:rPr>
        <w:t xml:space="preserve">Histogramme de la distribution de la Table 3.7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Agea-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63" w:name="histogramme-des-effectifs-ou-frequences-cumulees"/>
      <w:bookmarkEnd w:id="63"/>
      <w:r>
        <w:t xml:space="preserve">Histogramme des effectifs (ou fréquences) cumulé(e)s</w:t>
      </w:r>
    </w:p>
    <w:p>
      <w:pPr>
        <w:pStyle w:val="FirstParagraph"/>
      </w:pPr>
      <w:r>
        <w:t xml:space="preserve">Les histogrammes des effectifs (ou fréquences) cumulées ressemblent aux diagrammes des fréquences cumulées, si ce n’est que cette fois, les différents bâtons sont collés les uns aux autres pour rendre compte du caractère continu de la variable.</w:t>
      </w:r>
    </w:p>
    <w:p>
      <w:pPr>
        <w:pStyle w:val="Corpsdetexte"/>
      </w:pPr>
      <w:r>
        <w:t xml:space="preserve">De même que pour les histogrammes vu dans la section précédente, il est possible de tracer le polygone des effectifs (ou fréquences) cumulé(e)s pour mieux rendre compte du caractère continu de la variable.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cumpolygon_PIB-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Titre4"/>
      </w:pPr>
      <w:bookmarkStart w:id="65" w:name="remarque-les-distributions"/>
      <w:bookmarkEnd w:id="65"/>
      <w:r>
        <w:t xml:space="preserve">Remarque: les distributions</w:t>
      </w:r>
    </w:p>
    <w:p>
      <w:pPr>
        <w:pStyle w:val="FirstParagraph"/>
      </w:pPr>
      <w:r>
        <w:t xml:space="preserve">Il a été brièvement mentionné que lorsque le nombre de classe augmente (ce qui revient à dire que l’amplitude de chaque classe diminue), l’allure générale des données se dessine avec plus de précision. Cela est illustré dans la Figure 3.11, où les mêmes données sont représentées à l’aide de trois histogrammes, dont le nombre de classes varie (11 classes dans l’histogramme de gauche,55 classes dans l’histogramme du milieu et 1.1</w:t>
      </w:r>
      <w:r>
        <w:t xml:space="preserve">10^{5} classes dans l’histogramme de droite). Au fur et à mesure que le nombre de classes augmentent, l’allure de l’histogramme se rapproche d’une courbe, jusqu’à se lisser parfaitement. Cette courbe lisse représente ce qu’on appelle la distribution des données.</w:t>
      </w:r>
    </w:p>
    <w:p>
      <w:pPr>
        <w:pStyle w:val="Corpsdetexte"/>
      </w:pPr>
      <w:r>
        <w:t xml:space="preserve">Figure 3.11</w:t>
      </w:r>
      <w:r>
        <w:br w:type="textWrapping"/>
      </w:r>
      <w:r>
        <w:rPr>
          <w:i/>
        </w:rPr>
        <w:t xml:space="preserve">De l’histogramme vers la distribution de données</w:t>
      </w:r>
      <w:r>
        <w:t xml:space="preserve"> </w:t>
      </w:r>
      <w:r>
        <w:drawing>
          <wp:inline>
            <wp:extent cx="4620126" cy="3696101"/>
            <wp:effectExtent b="0" l="0" r="0" t="0"/>
            <wp:docPr descr="" title="" id="1" name="Picture"/>
            <a:graphic>
              <a:graphicData uri="http://schemas.openxmlformats.org/drawingml/2006/picture">
                <pic:pic>
                  <pic:nvPicPr>
                    <pic:cNvPr descr="Syll_files/figure-docx/Figuredistribution-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Titre2"/>
      </w:pPr>
      <w:bookmarkStart w:id="67" w:name="les-graphiques-construits-sur-base-des-quantiles"/>
      <w:bookmarkEnd w:id="67"/>
      <w:r>
        <w:t xml:space="preserve">Les graphiques construits sur base des quantiles</w:t>
      </w:r>
    </w:p>
    <w:p>
      <w:pPr>
        <w:pStyle w:val="FirstParagraph"/>
      </w:pPr>
      <w:r>
        <w:t xml:space="preserve">Outre les tableaux de fréquence, une autre manière utile de décrire une série de données ou une distribution est de la diviser en un certain nombre d’intervalles contenant tous le même nombre d’observations. Les bornes de ces intervalles sont appelés des</w:t>
      </w:r>
      <w:r>
        <w:t xml:space="preserve"> </w:t>
      </w:r>
      <w:r>
        <w:rPr>
          <w:b/>
        </w:rPr>
        <w:t xml:space="preserve">quantiles</w:t>
      </w:r>
      <w:r>
        <w:t xml:space="preserve">. Contrairement aux tableaux de fréquence, le calcul des quantiles n’a de sens que pour décrire des variables</w:t>
      </w:r>
      <w:r>
        <w:t xml:space="preserve"> </w:t>
      </w:r>
      <w:r>
        <w:rPr>
          <w:b/>
        </w:rPr>
        <w:t xml:space="preserve">quantitatives</w:t>
      </w:r>
      <w:r>
        <w:t xml:space="preserve"> </w:t>
      </w:r>
      <w:r>
        <w:t xml:space="preserve">(discrètes ou continues).</w:t>
      </w:r>
    </w:p>
    <w:p>
      <w:pPr>
        <w:pStyle w:val="Corpsdetexte"/>
      </w:pPr>
      <w:r>
        <w:t xml:space="preserve">Certains quantiles sont particulièrement connus, on retrouve parmi eux:</w:t>
      </w:r>
    </w:p>
    <w:p>
      <w:pPr>
        <w:pStyle w:val="Compact"/>
        <w:numPr>
          <w:numId w:val="1001"/>
          <w:ilvl w:val="0"/>
        </w:numPr>
      </w:pPr>
      <w:r>
        <w:t xml:space="preserve">La</w:t>
      </w:r>
      <w:r>
        <w:t xml:space="preserve"> </w:t>
      </w:r>
      <w:r>
        <w:rPr>
          <w:b/>
        </w:rPr>
        <w:t xml:space="preserve">Médiane</w:t>
      </w:r>
      <w:r>
        <w:t xml:space="preserve"> </w:t>
      </w:r>
      <w:r>
        <w:t xml:space="preserve">qui découpe la distribution en deux parties contenant chacune 50% des observations. Ce quantile, très important, donne une mesure de ce qu’on appelle la</w:t>
      </w:r>
      <w:r>
        <w:t xml:space="preserve"> </w:t>
      </w:r>
      <w:r>
        <w:rPr>
          <w:b/>
        </w:rPr>
        <w:t xml:space="preserve">tendance centrale</w:t>
      </w:r>
      <w:r>
        <w:t xml:space="preserve"> </w:t>
      </w:r>
      <w:r>
        <w:t xml:space="preserve">(cette notion sera développée au chapitre suivant).</w:t>
      </w:r>
    </w:p>
    <w:p>
      <w:pPr>
        <w:pStyle w:val="Compact"/>
        <w:numPr>
          <w:numId w:val="1001"/>
          <w:ilvl w:val="0"/>
        </w:numPr>
      </w:pPr>
      <w:r>
        <w:t xml:space="preserve">Les</w:t>
      </w:r>
      <w:r>
        <w:t xml:space="preserve"> </w:t>
      </w:r>
      <w:r>
        <w:rPr>
          <w:b/>
        </w:rPr>
        <w:t xml:space="preserve">Quartiles</w:t>
      </w:r>
      <w:r>
        <w:t xml:space="preserve"> </w:t>
      </w:r>
      <w:r>
        <w:t xml:space="preserve">qui découpent la distribution en 4 parties contenant chacune 25% des observations.</w:t>
      </w:r>
    </w:p>
    <w:p>
      <w:pPr>
        <w:pStyle w:val="Compact"/>
        <w:numPr>
          <w:numId w:val="1001"/>
          <w:ilvl w:val="0"/>
        </w:numPr>
      </w:pPr>
      <w:r>
        <w:t xml:space="preserve">Les</w:t>
      </w:r>
      <w:r>
        <w:t xml:space="preserve"> </w:t>
      </w:r>
      <w:r>
        <w:rPr>
          <w:b/>
        </w:rPr>
        <w:t xml:space="preserve">Déciles</w:t>
      </w:r>
      <w:r>
        <w:t xml:space="preserve"> </w:t>
      </w:r>
      <w:r>
        <w:t xml:space="preserve">qui découpent la distribution en 10 parties contenant chacune 10% des observations</w:t>
      </w:r>
    </w:p>
    <w:p>
      <w:pPr>
        <w:pStyle w:val="Compact"/>
        <w:numPr>
          <w:numId w:val="1001"/>
          <w:ilvl w:val="0"/>
        </w:numPr>
      </w:pPr>
      <w:r>
        <w:t xml:space="preserve">Les</w:t>
      </w:r>
      <w:r>
        <w:t xml:space="preserve"> </w:t>
      </w:r>
      <w:r>
        <w:rPr>
          <w:b/>
        </w:rPr>
        <w:t xml:space="preserve">Percentiles</w:t>
      </w:r>
      <w:r>
        <w:t xml:space="preserve"> </w:t>
      </w:r>
      <w:r>
        <w:t xml:space="preserve">qui découpent la distribution en 100 parties contenant chacune 1% des observations.</w:t>
      </w:r>
    </w:p>
    <w:p>
      <w:pPr>
        <w:pStyle w:val="FirstParagraph"/>
      </w:pPr>
      <w:r>
        <w:t xml:space="preserve">Remarquez que le 25ème percentile est le premier quartile, le cinquantième percentile est le cinquième décile ou le deuxième quartile ou encore la médiane, etc.</w:t>
      </w:r>
    </w:p>
    <w:p>
      <w:pPr>
        <w:pStyle w:val="Corpsdetexte"/>
      </w:pPr>
      <w:r>
        <w:t xml:space="preserve">Bien que le principe soit identique quel que soit le quantile envisagé, nous ne développerons que la</w:t>
      </w:r>
      <w:r>
        <w:t xml:space="preserve"> </w:t>
      </w:r>
      <w:r>
        <w:rPr>
          <w:b/>
        </w:rPr>
        <w:t xml:space="preserve">médiane</w:t>
      </w:r>
      <w:r>
        <w:t xml:space="preserve"> </w:t>
      </w:r>
      <w:r>
        <w:t xml:space="preserve">et les</w:t>
      </w:r>
      <w:r>
        <w:t xml:space="preserve"> </w:t>
      </w:r>
      <w:r>
        <w:rPr>
          <w:b/>
        </w:rPr>
        <w:t xml:space="preserve">quartiles</w:t>
      </w:r>
      <w:r>
        <w:t xml:space="preserve">, parce qu’ils sont nécessaires à la réalisation de boîtes à moustaches que nous élaborerons ensuite. Par ailleurs, on ne calculera pas ces quantiles exactement de la même manière suivant que les données soit discrètes ou continues.</w:t>
      </w:r>
    </w:p>
    <w:p>
      <w:pPr>
        <w:pStyle w:val="Titre3"/>
      </w:pPr>
      <w:bookmarkStart w:id="68" w:name="variables-quantitatives-discretes-1"/>
      <w:bookmarkEnd w:id="68"/>
      <w:r>
        <w:t xml:space="preserve">Variables quantitatives discrètes</w:t>
      </w:r>
    </w:p>
    <w:p>
      <w:pPr>
        <w:pStyle w:val="Titre4"/>
      </w:pPr>
      <w:bookmarkStart w:id="69" w:name="simplification-des-donnees-calcul-de-la-mediane-et-des-quartiles"/>
      <w:bookmarkEnd w:id="69"/>
      <w:r>
        <w:t xml:space="preserve">Simplification des données: calcul de la médiane et des quartiles</w:t>
      </w:r>
    </w:p>
    <w:p>
      <w:pPr>
        <w:pStyle w:val="Titre5"/>
      </w:pPr>
      <w:bookmarkStart w:id="70" w:name="au-depart-de-donnees-brutes"/>
      <w:bookmarkEnd w:id="70"/>
      <w:r>
        <w:t xml:space="preserve">Au départ de données brutes</w:t>
      </w:r>
    </w:p>
    <w:p>
      <w:pPr>
        <w:pStyle w:val="FirstParagraph"/>
      </w:pPr>
      <w:r>
        <w:t xml:space="preserve">Soit une série statistique contenant un nombre impair de sujets (n=9):</w:t>
      </w:r>
    </w:p>
    <w:p>
      <w:pPr>
        <w:pStyle w:val="Corpsdetexte"/>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r>
            <m:t>,</m:t>
          </m:r>
          <m:r>
            <m:t>13</m:t>
          </m:r>
          <m:r>
            <m:t>,</m:t>
          </m:r>
          <m:r>
            <m:t>15</m:t>
          </m:r>
        </m:oMath>
      </m:oMathPara>
    </w:p>
    <w:p>
      <w:pPr>
        <w:pStyle w:val="FirstParagraph"/>
      </w:pPr>
      <w:r>
        <w:t xml:space="preserve">La médiane va consister à déterminer une valeur telle qu’il y ait la moitié des observations de la série dont la valeur lui est inférieure, et l’autre moitié dont la valeur lui est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Corpsdetexte"/>
      </w:pPr>
      <w:r>
        <w:t xml:space="preserve">Voici la série ordonnée:</w:t>
      </w:r>
    </w:p>
    <w:p>
      <w:pPr>
        <w:pStyle w:val="Corpsdetexte"/>
      </w:pPr>
      <m:oMathPara>
        <m:oMathParaPr>
          <m:jc m:val="center"/>
        </m:oMathParaPr>
        <m:oMath>
          <m:r>
            <m:t>1</m:t>
          </m:r>
          <m:r>
            <m:t>,</m:t>
          </m:r>
          <m:r>
            <m:t>2</m:t>
          </m:r>
          <m:r>
            <m:t>,</m:t>
          </m:r>
          <m:r>
            <m:t>3</m:t>
          </m:r>
          <m:r>
            <m:t>,</m:t>
          </m:r>
          <m:r>
            <m:t>7</m:t>
          </m:r>
          <m:r>
            <m:t>,</m:t>
          </m:r>
          <m:r>
            <m:t>8</m:t>
          </m:r>
          <m:r>
            <m:t>,</m:t>
          </m:r>
          <m:r>
            <m:t>9</m:t>
          </m:r>
          <m:r>
            <m:t>,</m:t>
          </m:r>
          <m:r>
            <m:t>11</m:t>
          </m:r>
          <m:r>
            <m:t>,</m:t>
          </m:r>
          <m:r>
            <m:t>13</m:t>
          </m:r>
          <m:r>
            <m:t>,</m:t>
          </m:r>
          <m:r>
            <m:t>15</m:t>
          </m:r>
        </m:oMath>
      </m:oMathPara>
    </w:p>
    <w:p>
      <w:pPr>
        <w:pStyle w:val="FirstParagraph"/>
      </w:pPr>
      <w:r>
        <w:t xml:space="preserve">.</w:t>
      </w:r>
    </w:p>
    <w:p>
      <w:pPr>
        <w:pStyle w:val="Corpsdetexte"/>
      </w:pPr>
      <w:r>
        <w:t xml:space="preserve">La médiane sera l’observation qui occupera le rang</w:t>
      </w:r>
      <w:r>
        <w:t xml:space="preserve"> </w:t>
      </w:r>
      <m:oMath>
        <m:f>
          <m:fPr>
            <m:type m:val="bar"/>
          </m:fPr>
          <m:num>
            <m:r>
              <m:t>9</m:t>
            </m:r>
            <m:r>
              <m:t>+</m:t>
            </m:r>
            <m:r>
              <m:t>1</m:t>
            </m:r>
          </m:num>
          <m:den>
            <m:r>
              <m:t>2</m:t>
            </m:r>
          </m:den>
        </m:f>
      </m:oMath>
      <w:r>
        <w:t xml:space="preserve"> </w:t>
      </w:r>
      <w:r>
        <w:t xml:space="preserve">(soit la</w:t>
      </w:r>
      <w:r>
        <w:t xml:space="preserve"> </w:t>
      </w:r>
      <m:oMath>
        <m:sSup>
          <m:e>
            <m:r>
              <m:t>5</m:t>
            </m:r>
          </m:e>
          <m:sup>
            <m:r>
              <m:t>e</m:t>
            </m:r>
          </m:sup>
        </m:sSup>
      </m:oMath>
      <w:r>
        <w:t xml:space="preserve"> </w:t>
      </w:r>
      <w:r>
        <w:t xml:space="preserve">observation) de la série ordonnée. Or, la</w:t>
      </w:r>
      <w:r>
        <w:t xml:space="preserve"> </w:t>
      </w:r>
      <m:oMath>
        <m:sSup>
          <m:e>
            <m:r>
              <m:t>5</m:t>
            </m:r>
          </m:e>
          <m:sup>
            <m:r>
              <m:t>e</m:t>
            </m:r>
          </m:sup>
        </m:sSup>
      </m:oMath>
      <w:r>
        <w:t xml:space="preserve"> </w:t>
      </w:r>
      <w:r>
        <w:t xml:space="preserve">observation de la série ordonnée a pour valeur 8. La médiane vaut donc 8.</w:t>
      </w:r>
    </w:p>
    <w:p>
      <w:pPr>
        <w:pStyle w:val="Corpsdetexte"/>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Corpsdetexte"/>
      </w:pPr>
      <w:r>
        <w:t xml:space="preserve">Soit une autre série statistique, contenant cette fois un nombre pair de sujets (n=10):</w:t>
      </w:r>
    </w:p>
    <w:p>
      <w:pPr>
        <w:pStyle w:val="Corpsdetexte"/>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r>
            <m:t>,</m:t>
          </m:r>
          <m:r>
            <m:t>13</m:t>
          </m:r>
          <m:r>
            <m:t>,</m:t>
          </m:r>
          <m:r>
            <m:t>15</m:t>
          </m:r>
        </m:oMath>
      </m:oMathPara>
    </w:p>
    <w:p>
      <w:pPr>
        <w:pStyle w:val="FirstParagraph"/>
      </w:pPr>
      <w:r>
        <w:t xml:space="preserve">On commence par ordonnée la série:</w:t>
      </w:r>
    </w:p>
    <w:p>
      <w:pPr>
        <w:pStyle w:val="Corpsdetexte"/>
      </w:pPr>
      <m:oMathPara>
        <m:oMathParaPr>
          <m:jc m:val="center"/>
        </m:oMathParaPr>
        <m:oMath>
          <m:r>
            <m:t>2</m:t>
          </m:r>
          <m:r>
            <m:t>,</m:t>
          </m:r>
          <m:r>
            <m:t>3</m:t>
          </m:r>
          <m:r>
            <m:t>,</m:t>
          </m:r>
          <m:r>
            <m:t>6</m:t>
          </m:r>
          <m:r>
            <m:t>,</m:t>
          </m:r>
          <m:r>
            <m:t>7</m:t>
          </m:r>
          <m:r>
            <m:t>,</m:t>
          </m:r>
          <m:r>
            <m:t>8</m:t>
          </m:r>
          <m:r>
            <m:t>,</m:t>
          </m:r>
          <m:r>
            <m:t>9</m:t>
          </m:r>
          <m:r>
            <m:t>,</m:t>
          </m:r>
          <m:r>
            <m:t>11</m:t>
          </m:r>
          <m:r>
            <m:t>,</m:t>
          </m:r>
          <m:r>
            <m:t>13</m:t>
          </m:r>
          <m:r>
            <m:t>,</m:t>
          </m:r>
          <m:r>
            <m:t>14</m:t>
          </m:r>
          <m:r>
            <m:t>,</m:t>
          </m:r>
          <m:r>
            <m:t>15</m:t>
          </m:r>
        </m:oMath>
      </m:oMathPara>
    </w:p>
    <w:p>
      <w:pPr>
        <w:pStyle w:val="FirstParagraph"/>
      </w:pPr>
      <w:r>
        <w:t xml:space="preserve">On calcule ensuite le rang médian:</w:t>
      </w:r>
      <w:r>
        <w:t xml:space="preserve"> </w:t>
      </w:r>
      <m:oMath>
        <m:f>
          <m:fPr>
            <m:type m:val="bar"/>
          </m:fPr>
          <m:num>
            <m:r>
              <m:t>10</m:t>
            </m:r>
            <m:r>
              <m:t>+</m:t>
            </m:r>
            <m:r>
              <m:t>1</m:t>
            </m:r>
          </m:num>
          <m:den>
            <m:r>
              <m:t>2</m:t>
            </m:r>
          </m:den>
        </m:f>
        <m:r>
          <m:t>=</m:t>
        </m:r>
        <m:r>
          <m:t>5.5</m:t>
        </m:r>
      </m:oMath>
      <w:r>
        <w:t xml:space="preserve">. Cette fois, le rang n’est pas un nombre rond. On en déduit que la médiane sera la valeur entre la</w:t>
      </w:r>
      <w:r>
        <w:t xml:space="preserve"> </w:t>
      </w:r>
      <m:oMath>
        <m:sSup>
          <m:e>
            <m:r>
              <m:t>5</m:t>
            </m:r>
          </m:e>
          <m:sup>
            <m:r>
              <m:t>e</m:t>
            </m:r>
          </m:sup>
        </m:sSup>
      </m:oMath>
      <w:r>
        <w:t xml:space="preserve"> </w:t>
      </w:r>
      <w:r>
        <w:t xml:space="preserve">observation (valant 8) et la</w:t>
      </w:r>
      <w:r>
        <w:t xml:space="preserve"> </w:t>
      </w:r>
      <m:oMath>
        <m:sSup>
          <m:e>
            <m:r>
              <m:t>6</m:t>
            </m:r>
          </m:e>
          <m:sup>
            <m:r>
              <m:t>e</m:t>
            </m:r>
          </m:sup>
        </m:sSup>
      </m:oMath>
      <w:r>
        <w:t xml:space="preserve"> </w:t>
      </w:r>
      <w:r>
        <w:t xml:space="preserve">observation de la série (valant 9). Par convention, on prend la moyenne de ces deux valeurs, ce qui donne 8.5.</w:t>
      </w:r>
    </w:p>
    <w:p>
      <w:pPr>
        <w:pStyle w:val="Corpsdetexte"/>
      </w:pP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Corpsdetexte"/>
      </w:pPr>
      <m:oMathPara>
        <m:oMathParaPr>
          <m:jc m:val="center"/>
        </m:oMathParaPr>
        <m:oMath>
          <m:r>
            <m:t>*</m:t>
          </m:r>
          <m:r>
            <m:t>*</m:t>
          </m:r>
          <m:r>
            <m:t>S</m:t>
          </m:r>
          <m:r>
            <m:t>é</m:t>
          </m:r>
          <m:r>
            <m:t>r</m:t>
          </m:r>
          <m:r>
            <m:t>i</m:t>
          </m:r>
          <m:r>
            <m:t>e</m:t>
          </m:r>
          <m:r>
            <m:t>3</m:t>
          </m:r>
          <m:r>
            <m:t>*</m:t>
          </m:r>
          <m:r>
            <m:t>*</m:t>
          </m:r>
          <m:r>
            <m:t>2</m:t>
          </m:r>
          <m:r>
            <m:t>,</m:t>
          </m:r>
          <m:r>
            <m:t>3</m:t>
          </m:r>
          <m:r>
            <m:t>,</m:t>
          </m:r>
          <m:r>
            <m:t>6</m:t>
          </m:r>
          <m:r>
            <m:t>,</m:t>
          </m:r>
          <m:r>
            <m:t>7</m:t>
          </m:r>
          <m:r>
            <m:t>,</m:t>
          </m:r>
          <m:r>
            <m:t>8</m:t>
          </m:r>
          <m:r>
            <m:t>,</m:t>
          </m:r>
          <m:r>
            <m:t>8</m:t>
          </m:r>
          <m:r>
            <m:t>,</m:t>
          </m:r>
          <m:r>
            <m:t>11</m:t>
          </m:r>
          <m:r>
            <m:t>,</m:t>
          </m:r>
          <m:r>
            <m:t>13</m:t>
          </m:r>
          <m:r>
            <m:t>,</m:t>
          </m:r>
          <m:r>
            <m:t>14</m:t>
          </m:r>
          <m:r>
            <m:t>,</m:t>
          </m:r>
          <m:r>
            <m:t>15</m:t>
          </m:r>
        </m:oMath>
      </m:oMathPara>
    </w:p>
    <w:p>
      <w:pPr>
        <w:pStyle w:val="FirstParagraph"/>
      </w:pPr>
      <w:r>
        <w:t xml:space="preserve">.</w:t>
      </w:r>
      <w:r>
        <w:br w:type="textWrapping"/>
      </w:r>
      <w:r>
        <w:t xml:space="preserve">Dans ce cas, étant donné que le rang médian vaut 5.5, la médiane sera la moyenne entre 8 et 8, soit 8.</w:t>
      </w:r>
    </w:p>
    <w:p>
      <w:pPr>
        <w:pStyle w:val="Corpsdetexte"/>
      </w:pPr>
      <w:r>
        <w:t xml:space="preserve">La valeur du premier quartile d’une série sera celle qui est telle que si l’on s’intéresse exclusivemenet aux valeurs à gauche de la médiane, la moitié des observations sélectionnées lui est inférieure et l’autre moitié lui est supérieure. Similairement, la valeur du troisième quartile sera celle qui est telle que si l’on s’intéresse exclusivement aux valeurs à droite de la médiane, la moitié des observations sélectionnées lui est inférieure et l’autre moitié lui est supérieure.</w:t>
      </w:r>
    </w:p>
    <w:p>
      <w:pPr>
        <w:pStyle w:val="Corpsdetexte"/>
      </w:pPr>
      <w:r>
        <w:t xml:space="preserve">Par exemple, si l’on revient à la série 1, soit la série suivante:</w:t>
      </w:r>
      <w:r>
        <w:t xml:space="preserve"> </w:t>
      </w:r>
      <m:oMath>
        <m:r>
          <m:t>1</m:t>
        </m:r>
        <m:r>
          <m:t>,</m:t>
        </m:r>
        <m:r>
          <m:t>2</m:t>
        </m:r>
        <m:r>
          <m:t>,</m:t>
        </m:r>
        <m:r>
          <m:t>3</m:t>
        </m:r>
        <m:r>
          <m:t>,</m:t>
        </m:r>
        <m:r>
          <m:t>7</m:t>
        </m:r>
        <m:r>
          <m:t>,</m:t>
        </m:r>
        <m:r>
          <m:t>8</m:t>
        </m:r>
        <m:r>
          <m:t>,</m:t>
        </m:r>
        <m:r>
          <m:t>9</m:t>
        </m:r>
        <m:r>
          <m:t>,</m:t>
        </m:r>
        <m:r>
          <m:t>11</m:t>
        </m:r>
        <m:r>
          <m:t>,</m:t>
        </m:r>
        <m:r>
          <m:t>13</m:t>
        </m:r>
        <m:r>
          <m:t>,</m:t>
        </m:r>
        <m:r>
          <m:t>15</m:t>
        </m:r>
      </m:oMath>
    </w:p>
    <w:p>
      <w:pPr>
        <w:pStyle w:val="Compact"/>
        <w:numPr>
          <w:numId w:val="1002"/>
          <w:ilvl w:val="0"/>
        </w:numPr>
      </w:pPr>
      <w:r>
        <w:t xml:space="preserve">La partie des données à gauche de la médiane est la suivante: 1, 2, 3, 7</w:t>
      </w:r>
    </w:p>
    <w:p>
      <w:pPr>
        <w:pStyle w:val="FirstParagraph"/>
      </w:pPr>
      <w:r>
        <w:t xml:space="preserve">La valeur du premier quartile sera donc égal à 2.5.</w:t>
      </w:r>
    </w:p>
    <w:p>
      <w:pPr>
        <w:pStyle w:val="Compact"/>
        <w:numPr>
          <w:numId w:val="1003"/>
          <w:ilvl w:val="0"/>
        </w:numPr>
      </w:pPr>
      <w:r>
        <w:t xml:space="preserve">La partie à droite de la médiane est la partie suivante: 9, 11, 13, 15</w:t>
      </w:r>
    </w:p>
    <w:p>
      <w:pPr>
        <w:pStyle w:val="FirstParagraph"/>
      </w:pPr>
      <w:r>
        <w:t xml:space="preserve">La valeur du troisième quartile sera donc égal à 12.</w:t>
      </w:r>
    </w:p>
    <w:p>
      <w:pPr>
        <w:pStyle w:val="Corpsdetexte"/>
      </w:pPr>
      <w:r>
        <w:t xml:space="preserve">Si l’on revient à la série 2, soit la série suivante:</w:t>
      </w:r>
      <w:r>
        <w:t xml:space="preserve"> </w:t>
      </w:r>
      <m:oMath>
        <m:r>
          <m:t>2</m:t>
        </m:r>
        <m:r>
          <m:t>,</m:t>
        </m:r>
        <m:r>
          <m:t>3</m:t>
        </m:r>
        <m:r>
          <m:t>,</m:t>
        </m:r>
        <m:r>
          <m:t>6</m:t>
        </m:r>
        <m:r>
          <m:t>,</m:t>
        </m:r>
        <m:r>
          <m:t>7</m:t>
        </m:r>
        <m:r>
          <m:t>,</m:t>
        </m:r>
        <m:r>
          <m:t>8</m:t>
        </m:r>
        <m:r>
          <m:t>,</m:t>
        </m:r>
        <m:r>
          <m:t>9</m:t>
        </m:r>
        <m:r>
          <m:t>,</m:t>
        </m:r>
        <m:r>
          <m:t>11</m:t>
        </m:r>
        <m:r>
          <m:t>,</m:t>
        </m:r>
        <m:r>
          <m:t>13</m:t>
        </m:r>
        <m:r>
          <m:t>,</m:t>
        </m:r>
        <m:r>
          <m:t>14</m:t>
        </m:r>
        <m:r>
          <m:t>,</m:t>
        </m:r>
        <m:r>
          <m:t>15</m:t>
        </m:r>
      </m:oMath>
    </w:p>
    <w:p>
      <w:pPr>
        <w:pStyle w:val="Compact"/>
        <w:numPr>
          <w:numId w:val="1004"/>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5"/>
          <w:ilvl w:val="0"/>
        </w:numPr>
      </w:pPr>
      <w:r>
        <w:t xml:space="preserve">La partie à droite de la médiane est la partie suivante: 9, 11, 13, 14, 15</w:t>
      </w:r>
    </w:p>
    <w:p>
      <w:pPr>
        <w:pStyle w:val="FirstParagraph"/>
      </w:pPr>
      <w:r>
        <w:t xml:space="preserve">La valeur du troisième quartile sera donc égal à 13.</w:t>
      </w:r>
    </w:p>
    <w:p>
      <w:pPr>
        <w:pStyle w:val="Corpsdetexte"/>
      </w:pPr>
      <w:r>
        <w:t xml:space="preserve">Enfin, si l’on revient à la série 3, soit la série suivante:</w:t>
      </w:r>
      <w:r>
        <w:t xml:space="preserve"> </w:t>
      </w:r>
      <m:oMath>
        <m:r>
          <m:t>2</m:t>
        </m:r>
        <m:r>
          <m:t>,</m:t>
        </m:r>
        <m:r>
          <m:t>3</m:t>
        </m:r>
        <m:r>
          <m:t>,</m:t>
        </m:r>
        <m:r>
          <m:t>6</m:t>
        </m:r>
        <m:r>
          <m:t>,</m:t>
        </m:r>
        <m:r>
          <m:t>7</m:t>
        </m:r>
        <m:r>
          <m:t>,</m:t>
        </m:r>
        <m:r>
          <m:t>8</m:t>
        </m:r>
        <m:r>
          <m:t>,</m:t>
        </m:r>
        <m:r>
          <m:t>8</m:t>
        </m:r>
        <m:r>
          <m:t>,</m:t>
        </m:r>
        <m:r>
          <m:t>11</m:t>
        </m:r>
        <m:r>
          <m:t>,</m:t>
        </m:r>
        <m:r>
          <m:t>13</m:t>
        </m:r>
        <m:r>
          <m:t>,</m:t>
        </m:r>
        <m:r>
          <m:t>14</m:t>
        </m:r>
        <m:r>
          <m:t>,</m:t>
        </m:r>
        <m:r>
          <m:t>15</m:t>
        </m:r>
      </m:oMath>
    </w:p>
    <w:p>
      <w:pPr>
        <w:pStyle w:val="Compact"/>
        <w:numPr>
          <w:numId w:val="1006"/>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7"/>
          <w:ilvl w:val="0"/>
        </w:numPr>
      </w:pPr>
      <w:r>
        <w:t xml:space="preserve">La partie à droite de la médiane est la partie suivante: 8, 11, 13, 14, 15</w:t>
      </w:r>
    </w:p>
    <w:p>
      <w:pPr>
        <w:pStyle w:val="FirstParagraph"/>
      </w:pPr>
      <w:r>
        <w:t xml:space="preserve">La valeur du troisième quartile sera donc égal à 13.</w:t>
      </w:r>
    </w:p>
    <w:p>
      <w:pPr>
        <w:pStyle w:val="Titre5"/>
      </w:pPr>
      <w:bookmarkStart w:id="71" w:name="au-depart-de-tableaux-de-frequences"/>
      <w:bookmarkEnd w:id="71"/>
      <w:r>
        <w:t xml:space="preserve">Au départ de tableaux de fréquences</w:t>
      </w:r>
    </w:p>
    <w:p>
      <w:pPr>
        <w:pStyle w:val="FirstParagraph"/>
      </w:pPr>
      <w:r>
        <w:t xml:space="preserve">La Table 3.11 est le tableau de fréquence des données de la série 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1</w:t>
            </w:r>
          </w:p>
        </w:tc>
        <w:tc>
          <w:p>
            <w:pPr>
              <w:pStyle w:val="Compact"/>
              <w:jc w:val="center"/>
            </w:pPr>
            <w:r>
              <w:t xml:space="preserve">0.11</w:t>
            </w:r>
          </w:p>
        </w:tc>
        <w:tc>
          <w:p>
            <w:pPr>
              <w:pStyle w:val="Compact"/>
              <w:jc w:val="center"/>
            </w:pPr>
            <w:r>
              <w:t xml:space="preserve">1</w:t>
            </w:r>
          </w:p>
        </w:tc>
        <w:tc>
          <w:p>
            <w:pPr>
              <w:pStyle w:val="Compact"/>
              <w:jc w:val="center"/>
            </w:pPr>
            <w:r>
              <w:t xml:space="preserve">0.11</w:t>
            </w:r>
          </w:p>
        </w:tc>
      </w:tr>
      <w:tr>
        <w:tc>
          <w:p>
            <w:pPr>
              <w:pStyle w:val="Compact"/>
              <w:jc w:val="center"/>
            </w:pPr>
            <w:r>
              <w:t xml:space="preserve">2</w:t>
            </w:r>
          </w:p>
        </w:tc>
        <w:tc>
          <w:p>
            <w:pPr>
              <w:pStyle w:val="Compact"/>
              <w:jc w:val="center"/>
            </w:pPr>
            <w:r>
              <w:t xml:space="preserve">1</w:t>
            </w:r>
          </w:p>
        </w:tc>
        <w:tc>
          <w:p>
            <w:pPr>
              <w:pStyle w:val="Compact"/>
              <w:jc w:val="center"/>
            </w:pPr>
            <w:r>
              <w:t xml:space="preserve">0.11</w:t>
            </w:r>
          </w:p>
        </w:tc>
        <w:tc>
          <w:p>
            <w:pPr>
              <w:pStyle w:val="Compact"/>
              <w:jc w:val="center"/>
            </w:pPr>
            <w:r>
              <w:t xml:space="preserve">2</w:t>
            </w:r>
          </w:p>
        </w:tc>
        <w:tc>
          <w:p>
            <w:pPr>
              <w:pStyle w:val="Compact"/>
              <w:jc w:val="center"/>
            </w:pPr>
            <w:r>
              <w:t xml:space="preserve">0.22</w:t>
            </w:r>
          </w:p>
        </w:tc>
      </w:tr>
      <w:tr>
        <w:tc>
          <w:p>
            <w:pPr>
              <w:pStyle w:val="Compact"/>
              <w:jc w:val="center"/>
            </w:pPr>
            <w:r>
              <w:t xml:space="preserve">3</w:t>
            </w:r>
          </w:p>
        </w:tc>
        <w:tc>
          <w:p>
            <w:pPr>
              <w:pStyle w:val="Compact"/>
              <w:jc w:val="center"/>
            </w:pPr>
            <w:r>
              <w:t xml:space="preserve">1</w:t>
            </w:r>
          </w:p>
        </w:tc>
        <w:tc>
          <w:p>
            <w:pPr>
              <w:pStyle w:val="Compact"/>
              <w:jc w:val="center"/>
            </w:pPr>
            <w:r>
              <w:t xml:space="preserve">0.11</w:t>
            </w:r>
          </w:p>
        </w:tc>
        <w:tc>
          <w:p>
            <w:pPr>
              <w:pStyle w:val="Compact"/>
              <w:jc w:val="center"/>
            </w:pPr>
            <w:r>
              <w:t xml:space="preserve">3</w:t>
            </w:r>
          </w:p>
        </w:tc>
        <w:tc>
          <w:p>
            <w:pPr>
              <w:pStyle w:val="Compact"/>
              <w:jc w:val="center"/>
            </w:pPr>
            <w:r>
              <w:t xml:space="preserve">0.33</w:t>
            </w:r>
          </w:p>
        </w:tc>
      </w:tr>
      <w:tr>
        <w:tc>
          <w:p>
            <w:pPr>
              <w:pStyle w:val="Compact"/>
              <w:jc w:val="center"/>
            </w:pPr>
            <w:r>
              <w:t xml:space="preserve">7</w:t>
            </w:r>
          </w:p>
        </w:tc>
        <w:tc>
          <w:p>
            <w:pPr>
              <w:pStyle w:val="Compact"/>
              <w:jc w:val="center"/>
            </w:pPr>
            <w:r>
              <w:t xml:space="preserve">1</w:t>
            </w:r>
          </w:p>
        </w:tc>
        <w:tc>
          <w:p>
            <w:pPr>
              <w:pStyle w:val="Compact"/>
              <w:jc w:val="center"/>
            </w:pPr>
            <w:r>
              <w:t xml:space="preserve">0.11</w:t>
            </w:r>
          </w:p>
        </w:tc>
        <w:tc>
          <w:p>
            <w:pPr>
              <w:pStyle w:val="Compact"/>
              <w:jc w:val="center"/>
            </w:pPr>
            <w:r>
              <w:t xml:space="preserve">4</w:t>
            </w:r>
          </w:p>
        </w:tc>
        <w:tc>
          <w:p>
            <w:pPr>
              <w:pStyle w:val="Compact"/>
              <w:jc w:val="center"/>
            </w:pPr>
            <w:r>
              <w:t xml:space="preserve">0.44</w:t>
            </w:r>
          </w:p>
        </w:tc>
      </w:tr>
      <w:tr>
        <w:tc>
          <w:p>
            <w:pPr>
              <w:pStyle w:val="Compact"/>
              <w:jc w:val="center"/>
            </w:pPr>
            <w:r>
              <w:t xml:space="preserve">8</w:t>
            </w:r>
          </w:p>
        </w:tc>
        <w:tc>
          <w:p>
            <w:pPr>
              <w:pStyle w:val="Compact"/>
              <w:jc w:val="center"/>
            </w:pPr>
            <w:r>
              <w:t xml:space="preserve">1</w:t>
            </w:r>
          </w:p>
        </w:tc>
        <w:tc>
          <w:p>
            <w:pPr>
              <w:pStyle w:val="Compact"/>
              <w:jc w:val="center"/>
            </w:pPr>
            <w:r>
              <w:t xml:space="preserve">0.11</w:t>
            </w:r>
          </w:p>
        </w:tc>
        <w:tc>
          <w:p>
            <w:pPr>
              <w:pStyle w:val="Compact"/>
              <w:jc w:val="center"/>
            </w:pPr>
            <w:r>
              <w:t xml:space="preserve">5</w:t>
            </w:r>
          </w:p>
        </w:tc>
        <w:tc>
          <w:p>
            <w:pPr>
              <w:pStyle w:val="Compact"/>
              <w:jc w:val="center"/>
            </w:pPr>
            <w:r>
              <w:t xml:space="preserve">0.56</w:t>
            </w:r>
          </w:p>
        </w:tc>
      </w:tr>
      <w:tr>
        <w:tc>
          <w:p>
            <w:pPr>
              <w:pStyle w:val="Compact"/>
              <w:jc w:val="center"/>
            </w:pPr>
            <w:r>
              <w:t xml:space="preserve">9</w:t>
            </w:r>
          </w:p>
        </w:tc>
        <w:tc>
          <w:p>
            <w:pPr>
              <w:pStyle w:val="Compact"/>
              <w:jc w:val="center"/>
            </w:pPr>
            <w:r>
              <w:t xml:space="preserve">1</w:t>
            </w:r>
          </w:p>
        </w:tc>
        <w:tc>
          <w:p>
            <w:pPr>
              <w:pStyle w:val="Compact"/>
              <w:jc w:val="center"/>
            </w:pPr>
            <w:r>
              <w:t xml:space="preserve">0.11</w:t>
            </w:r>
          </w:p>
        </w:tc>
        <w:tc>
          <w:p>
            <w:pPr>
              <w:pStyle w:val="Compact"/>
              <w:jc w:val="center"/>
            </w:pPr>
            <w:r>
              <w:t xml:space="preserve">6</w:t>
            </w:r>
          </w:p>
        </w:tc>
        <w:tc>
          <w:p>
            <w:pPr>
              <w:pStyle w:val="Compact"/>
              <w:jc w:val="center"/>
            </w:pPr>
            <w:r>
              <w:t xml:space="preserve">0.67</w:t>
            </w:r>
          </w:p>
        </w:tc>
      </w:tr>
      <w:tr>
        <w:tc>
          <w:p>
            <w:pPr>
              <w:pStyle w:val="Compact"/>
              <w:jc w:val="center"/>
            </w:pPr>
            <w:r>
              <w:t xml:space="preserve">11</w:t>
            </w:r>
          </w:p>
        </w:tc>
        <w:tc>
          <w:p>
            <w:pPr>
              <w:pStyle w:val="Compact"/>
              <w:jc w:val="center"/>
            </w:pPr>
            <w:r>
              <w:t xml:space="preserve">1</w:t>
            </w:r>
          </w:p>
        </w:tc>
        <w:tc>
          <w:p>
            <w:pPr>
              <w:pStyle w:val="Compact"/>
              <w:jc w:val="center"/>
            </w:pPr>
            <w:r>
              <w:t xml:space="preserve">0.11</w:t>
            </w:r>
          </w:p>
        </w:tc>
        <w:tc>
          <w:p>
            <w:pPr>
              <w:pStyle w:val="Compact"/>
              <w:jc w:val="center"/>
            </w:pPr>
            <w:r>
              <w:t xml:space="preserve">7</w:t>
            </w:r>
          </w:p>
        </w:tc>
        <w:tc>
          <w:p>
            <w:pPr>
              <w:pStyle w:val="Compact"/>
              <w:jc w:val="center"/>
            </w:pPr>
            <w:r>
              <w:t xml:space="preserve">0.78</w:t>
            </w:r>
          </w:p>
        </w:tc>
      </w:tr>
      <w:tr>
        <w:tc>
          <w:p>
            <w:pPr>
              <w:pStyle w:val="Compact"/>
              <w:jc w:val="center"/>
            </w:pPr>
            <w:r>
              <w:t xml:space="preserve">13</w:t>
            </w:r>
          </w:p>
        </w:tc>
        <w:tc>
          <w:p>
            <w:pPr>
              <w:pStyle w:val="Compact"/>
              <w:jc w:val="center"/>
            </w:pPr>
            <w:r>
              <w:t xml:space="preserve">1</w:t>
            </w:r>
          </w:p>
        </w:tc>
        <w:tc>
          <w:p>
            <w:pPr>
              <w:pStyle w:val="Compact"/>
              <w:jc w:val="center"/>
            </w:pPr>
            <w:r>
              <w:t xml:space="preserve">0.11</w:t>
            </w:r>
          </w:p>
        </w:tc>
        <w:tc>
          <w:p>
            <w:pPr>
              <w:pStyle w:val="Compact"/>
              <w:jc w:val="center"/>
            </w:pPr>
            <w:r>
              <w:t xml:space="preserve">8</w:t>
            </w:r>
          </w:p>
        </w:tc>
        <w:tc>
          <w:p>
            <w:pPr>
              <w:pStyle w:val="Compact"/>
              <w:jc w:val="center"/>
            </w:pPr>
            <w:r>
              <w:t xml:space="preserve">0.89</w:t>
            </w:r>
          </w:p>
        </w:tc>
      </w:tr>
      <w:tr>
        <w:tc>
          <w:p>
            <w:pPr>
              <w:pStyle w:val="Compact"/>
              <w:jc w:val="center"/>
            </w:pPr>
            <w:r>
              <w:t xml:space="preserve">15</w:t>
            </w:r>
          </w:p>
        </w:tc>
        <w:tc>
          <w:p>
            <w:pPr>
              <w:pStyle w:val="Compact"/>
              <w:jc w:val="center"/>
            </w:pPr>
            <w:r>
              <w:t xml:space="preserve">1</w:t>
            </w:r>
          </w:p>
        </w:tc>
        <w:tc>
          <w:p>
            <w:pPr>
              <w:pStyle w:val="Compact"/>
              <w:jc w:val="center"/>
            </w:pPr>
            <w:r>
              <w:t xml:space="preserve">0.11</w:t>
            </w:r>
          </w:p>
        </w:tc>
        <w:tc>
          <w:p>
            <w:pPr>
              <w:pStyle w:val="Compact"/>
              <w:jc w:val="center"/>
            </w:pPr>
            <w:r>
              <w:t xml:space="preserve">9</w:t>
            </w:r>
          </w:p>
        </w:tc>
        <w:tc>
          <w:p>
            <w:pPr>
              <w:pStyle w:val="Compact"/>
              <w:jc w:val="center"/>
            </w:pPr>
            <w:r>
              <w:t xml:space="preserve">1.00</w:t>
            </w:r>
          </w:p>
        </w:tc>
      </w:tr>
    </w:tbl>
    <w:p>
      <w:pPr>
        <w:pStyle w:val="Corpsdetexte"/>
      </w:pPr>
      <w:r>
        <w:t xml:space="preserve">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w:t>
      </w:r>
    </w:p>
    <w:p>
      <w:pPr>
        <w:pStyle w:val="Corpsdetexte"/>
      </w:pPr>
      <w:r>
        <w:t xml:space="preserve">En suivant un raisonnement identique:</w:t>
      </w:r>
    </w:p>
    <w:p>
      <w:pPr>
        <w:numPr>
          <w:numId w:val="1008"/>
          <w:ilvl w:val="0"/>
        </w:numPr>
      </w:pPr>
      <w:r>
        <w:t xml:space="preserve">la fréquence cumulée associée à la valeur 2 vaut 0.22. La fréquence cumulée associée à la valeur 3 vaut 0.33. La médiane vaudra donc 3.</w:t>
      </w:r>
    </w:p>
    <w:p>
      <w:pPr>
        <w:numPr>
          <w:numId w:val="1008"/>
          <w:ilvl w:val="0"/>
        </w:numPr>
      </w:pPr>
      <w:r>
        <w:t xml:space="preserve">la fréquence cumulée associée à la valeur 9 vaut 0.67. La fréquence cumulée associée à la valeur 11 vaut 0.78. La médiane vaudra donc 11.</w:t>
      </w:r>
    </w:p>
    <w:p>
      <w:pPr>
        <w:pStyle w:val="FirstParagraph"/>
      </w:pPr>
      <w:r>
        <w:t xml:space="preserve">La Table 3.13 est le tableau de fréquence des données de la série 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2</w:t>
            </w:r>
          </w:p>
        </w:tc>
        <w:tc>
          <w:p>
            <w:pPr>
              <w:pStyle w:val="Compact"/>
              <w:jc w:val="center"/>
            </w:pPr>
            <w:r>
              <w:t xml:space="preserve">0.2</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pPr>
        <w:pStyle w:val="Corpsdetexte"/>
      </w:pPr>
      <w:r>
        <w:t xml:space="preserve">En suivant un raisonnement identique:</w:t>
      </w:r>
    </w:p>
    <w:p>
      <w:pPr>
        <w:numPr>
          <w:numId w:val="1009"/>
          <w:ilvl w:val="0"/>
        </w:numPr>
      </w:pPr>
      <w:r>
        <w:t xml:space="preserve">la fréquence cumulée associée à la valeur 3 vaut 0.2. La fréquence cumulée associée à la valeur 6 vaut 0.3. La médiane vaudra donc 6.</w:t>
      </w:r>
    </w:p>
    <w:p>
      <w:pPr>
        <w:numPr>
          <w:numId w:val="1009"/>
          <w:ilvl w:val="0"/>
        </w:numPr>
      </w:pPr>
      <w:r>
        <w:t xml:space="preserve">la fréquence cumulée associée à la valeur 11 vaut 0.7. La fréquence cumulée associée à la valeur 13 vaut 0.8. La médiane vaudra donc 13.</w:t>
      </w:r>
    </w:p>
    <w:p>
      <w:pPr>
        <w:pStyle w:val="FirstParagraph"/>
      </w:pPr>
      <w:r>
        <w:t xml:space="preserve">Enfin, la Table 3.12 est le tableau de fréquence des données de la série 2.</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1</w:t>
            </w:r>
          </w:p>
        </w:tc>
        <w:tc>
          <w:p>
            <w:pPr>
              <w:pStyle w:val="Compact"/>
              <w:jc w:val="center"/>
            </w:pPr>
            <w:r>
              <w:t xml:space="preserve">0.1</w:t>
            </w:r>
          </w:p>
        </w:tc>
        <w:tc>
          <w:p>
            <w:pPr>
              <w:pStyle w:val="Compact"/>
              <w:jc w:val="center"/>
            </w:pPr>
            <w:r>
              <w:t xml:space="preserve">5</w:t>
            </w:r>
          </w:p>
        </w:tc>
        <w:tc>
          <w:p>
            <w:pPr>
              <w:pStyle w:val="Compact"/>
              <w:jc w:val="center"/>
            </w:pPr>
            <w:r>
              <w:t xml:space="preserve">0.5</w:t>
            </w:r>
          </w:p>
        </w:tc>
      </w:tr>
      <w:tr>
        <w:tc>
          <w:p>
            <w:pPr>
              <w:pStyle w:val="Compact"/>
              <w:jc w:val="center"/>
            </w:pPr>
            <w:r>
              <w:t xml:space="preserve">9</w:t>
            </w:r>
          </w:p>
        </w:tc>
        <w:tc>
          <w:p>
            <w:pPr>
              <w:pStyle w:val="Compact"/>
              <w:jc w:val="center"/>
            </w:pPr>
            <w:r>
              <w:t xml:space="preserve">1</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de la valeur que nous avions trouvé.</w:t>
      </w:r>
    </w:p>
    <w:p>
      <w:pPr>
        <w:pStyle w:val="Corpsdetexte"/>
      </w:pPr>
      <w:r>
        <w:t xml:space="preserve">La valeur des premier et troisième quartiles correspondent aux premières lignes de fréquences cumulées qui dépassent respectivement .25 et .75, soit 6 et 13.</w:t>
      </w:r>
    </w:p>
    <w:p>
      <w:pPr>
        <w:pStyle w:val="Titre4"/>
      </w:pPr>
      <w:bookmarkStart w:id="72" w:name="realisation-graphique-le-boxplot-appelee-egalement-boite-a-moustaches"/>
      <w:bookmarkEnd w:id="72"/>
      <w:r>
        <w:t xml:space="preserve">Réalisation graphique: le boxplot (appelée également</w:t>
      </w:r>
      <w:r>
        <w:t xml:space="preserve"> </w:t>
      </w:r>
      <w:r>
        <w:t xml:space="preserve">“</w:t>
      </w:r>
      <w:r>
        <w:t xml:space="preserve">boîte à moustaches</w:t>
      </w:r>
      <w:r>
        <w:t xml:space="preserve">”</w:t>
      </w:r>
      <w:r>
        <w:t xml:space="preserve">)</w:t>
      </w:r>
    </w:p>
    <w:p>
      <w:pPr>
        <w:pStyle w:val="FirstParagraph"/>
      </w:pPr>
      <w:r>
        <w:t xml:space="preserve">Table 3.14</w:t>
      </w:r>
      <w:r>
        <w:br w:type="textWrapping"/>
      </w:r>
      <w:r>
        <w:rPr>
          <w:i/>
        </w:rPr>
        <w:t xml:space="preserve">Tableau de fréquence d’une série de données discrètes</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4</w:t>
            </w:r>
          </w:p>
        </w:tc>
        <w:tc>
          <w:p>
            <w:pPr>
              <w:pStyle w:val="Compact"/>
              <w:jc w:val="center"/>
            </w:pPr>
            <w:r>
              <w:t xml:space="preserve">0.07</w:t>
            </w:r>
          </w:p>
        </w:tc>
        <w:tc>
          <w:p>
            <w:pPr>
              <w:pStyle w:val="Compact"/>
              <w:jc w:val="center"/>
            </w:pPr>
            <w:r>
              <w:t xml:space="preserve">4</w:t>
            </w:r>
          </w:p>
        </w:tc>
        <w:tc>
          <w:p>
            <w:pPr>
              <w:pStyle w:val="Compact"/>
              <w:jc w:val="center"/>
            </w:pPr>
            <w:r>
              <w:t xml:space="preserve">0.07</w:t>
            </w:r>
          </w:p>
        </w:tc>
      </w:tr>
      <w:tr>
        <w:tc>
          <w:p>
            <w:pPr>
              <w:pStyle w:val="Compact"/>
              <w:jc w:val="center"/>
            </w:pPr>
            <w:r>
              <w:t xml:space="preserve">2</w:t>
            </w:r>
          </w:p>
        </w:tc>
        <w:tc>
          <w:p>
            <w:pPr>
              <w:pStyle w:val="Compact"/>
              <w:jc w:val="center"/>
            </w:pPr>
            <w:r>
              <w:t xml:space="preserve">7</w:t>
            </w:r>
          </w:p>
        </w:tc>
        <w:tc>
          <w:p>
            <w:pPr>
              <w:pStyle w:val="Compact"/>
              <w:jc w:val="center"/>
            </w:pPr>
            <w:r>
              <w:t xml:space="preserve">0.13</w:t>
            </w:r>
          </w:p>
        </w:tc>
        <w:tc>
          <w:p>
            <w:pPr>
              <w:pStyle w:val="Compact"/>
              <w:jc w:val="center"/>
            </w:pPr>
            <w:r>
              <w:t xml:space="preserve">11</w:t>
            </w:r>
          </w:p>
        </w:tc>
        <w:tc>
          <w:p>
            <w:pPr>
              <w:pStyle w:val="Compact"/>
              <w:jc w:val="center"/>
            </w:pPr>
            <w:r>
              <w:t xml:space="preserve">0.20</w:t>
            </w:r>
          </w:p>
        </w:tc>
      </w:tr>
      <w:tr>
        <w:tc>
          <w:p>
            <w:pPr>
              <w:pStyle w:val="Compact"/>
              <w:jc w:val="center"/>
            </w:pPr>
            <w:r>
              <w:t xml:space="preserve">3</w:t>
            </w:r>
          </w:p>
        </w:tc>
        <w:tc>
          <w:p>
            <w:pPr>
              <w:pStyle w:val="Compact"/>
              <w:jc w:val="center"/>
            </w:pPr>
            <w:r>
              <w:t xml:space="preserve">9</w:t>
            </w:r>
          </w:p>
        </w:tc>
        <w:tc>
          <w:p>
            <w:pPr>
              <w:pStyle w:val="Compact"/>
              <w:jc w:val="center"/>
            </w:pPr>
            <w:r>
              <w:t xml:space="preserve">0.16</w:t>
            </w:r>
          </w:p>
        </w:tc>
        <w:tc>
          <w:p>
            <w:pPr>
              <w:pStyle w:val="Compact"/>
              <w:jc w:val="center"/>
            </w:pPr>
            <w:r>
              <w:t xml:space="preserve">20</w:t>
            </w:r>
          </w:p>
        </w:tc>
        <w:tc>
          <w:p>
            <w:pPr>
              <w:pStyle w:val="Compact"/>
              <w:jc w:val="center"/>
            </w:pPr>
            <w:r>
              <w:t xml:space="preserve">0.36</w:t>
            </w:r>
          </w:p>
        </w:tc>
      </w:tr>
      <w:tr>
        <w:tc>
          <w:p>
            <w:pPr>
              <w:pStyle w:val="Compact"/>
              <w:jc w:val="center"/>
            </w:pPr>
            <w:r>
              <w:t xml:space="preserve">4</w:t>
            </w:r>
          </w:p>
        </w:tc>
        <w:tc>
          <w:p>
            <w:pPr>
              <w:pStyle w:val="Compact"/>
              <w:jc w:val="center"/>
            </w:pPr>
            <w:r>
              <w:t xml:space="preserve">5</w:t>
            </w:r>
          </w:p>
        </w:tc>
        <w:tc>
          <w:p>
            <w:pPr>
              <w:pStyle w:val="Compact"/>
              <w:jc w:val="center"/>
            </w:pPr>
            <w:r>
              <w:t xml:space="preserve">0.09</w:t>
            </w:r>
          </w:p>
        </w:tc>
        <w:tc>
          <w:p>
            <w:pPr>
              <w:pStyle w:val="Compact"/>
              <w:jc w:val="center"/>
            </w:pPr>
            <w:r>
              <w:t xml:space="preserve">25</w:t>
            </w:r>
          </w:p>
        </w:tc>
        <w:tc>
          <w:p>
            <w:pPr>
              <w:pStyle w:val="Compact"/>
              <w:jc w:val="center"/>
            </w:pPr>
            <w:r>
              <w:t xml:space="preserve">0.45</w:t>
            </w:r>
          </w:p>
        </w:tc>
      </w:tr>
      <w:tr>
        <w:tc>
          <w:p>
            <w:pPr>
              <w:pStyle w:val="Compact"/>
              <w:jc w:val="center"/>
            </w:pPr>
            <w:r>
              <w:t xml:space="preserve">5</w:t>
            </w:r>
          </w:p>
        </w:tc>
        <w:tc>
          <w:p>
            <w:pPr>
              <w:pStyle w:val="Compact"/>
              <w:jc w:val="center"/>
            </w:pPr>
            <w:r>
              <w:t xml:space="preserve">3</w:t>
            </w:r>
          </w:p>
        </w:tc>
        <w:tc>
          <w:p>
            <w:pPr>
              <w:pStyle w:val="Compact"/>
              <w:jc w:val="center"/>
            </w:pPr>
            <w:r>
              <w:t xml:space="preserve">0.05</w:t>
            </w:r>
          </w:p>
        </w:tc>
        <w:tc>
          <w:p>
            <w:pPr>
              <w:pStyle w:val="Compact"/>
              <w:jc w:val="center"/>
            </w:pPr>
            <w:r>
              <w:t xml:space="preserve">28</w:t>
            </w:r>
          </w:p>
        </w:tc>
        <w:tc>
          <w:p>
            <w:pPr>
              <w:pStyle w:val="Compact"/>
              <w:jc w:val="center"/>
            </w:pPr>
            <w:r>
              <w:t xml:space="preserve">0.51</w:t>
            </w:r>
          </w:p>
        </w:tc>
      </w:tr>
      <w:tr>
        <w:tc>
          <w:p>
            <w:pPr>
              <w:pStyle w:val="Compact"/>
              <w:jc w:val="center"/>
            </w:pPr>
            <w:r>
              <w:t xml:space="preserve">6</w:t>
            </w:r>
          </w:p>
        </w:tc>
        <w:tc>
          <w:p>
            <w:pPr>
              <w:pStyle w:val="Compact"/>
              <w:jc w:val="center"/>
            </w:pPr>
            <w:r>
              <w:t xml:space="preserve">4</w:t>
            </w:r>
          </w:p>
        </w:tc>
        <w:tc>
          <w:p>
            <w:pPr>
              <w:pStyle w:val="Compact"/>
              <w:jc w:val="center"/>
            </w:pPr>
            <w:r>
              <w:t xml:space="preserve">0.07</w:t>
            </w:r>
          </w:p>
        </w:tc>
        <w:tc>
          <w:p>
            <w:pPr>
              <w:pStyle w:val="Compact"/>
              <w:jc w:val="center"/>
            </w:pPr>
            <w:r>
              <w:t xml:space="preserve">32</w:t>
            </w:r>
          </w:p>
        </w:tc>
        <w:tc>
          <w:p>
            <w:pPr>
              <w:pStyle w:val="Compact"/>
              <w:jc w:val="center"/>
            </w:pPr>
            <w:r>
              <w:t xml:space="preserve">0.58</w:t>
            </w:r>
          </w:p>
        </w:tc>
      </w:tr>
      <w:tr>
        <w:tc>
          <w:p>
            <w:pPr>
              <w:pStyle w:val="Compact"/>
              <w:jc w:val="center"/>
            </w:pPr>
            <w:r>
              <w:t xml:space="preserve">7</w:t>
            </w:r>
          </w:p>
        </w:tc>
        <w:tc>
          <w:p>
            <w:pPr>
              <w:pStyle w:val="Compact"/>
              <w:jc w:val="center"/>
            </w:pPr>
            <w:r>
              <w:t xml:space="preserve">8</w:t>
            </w:r>
          </w:p>
        </w:tc>
        <w:tc>
          <w:p>
            <w:pPr>
              <w:pStyle w:val="Compact"/>
              <w:jc w:val="center"/>
            </w:pPr>
            <w:r>
              <w:t xml:space="preserve">0.15</w:t>
            </w:r>
          </w:p>
        </w:tc>
        <w:tc>
          <w:p>
            <w:pPr>
              <w:pStyle w:val="Compact"/>
              <w:jc w:val="center"/>
            </w:pPr>
            <w:r>
              <w:t xml:space="preserve">40</w:t>
            </w:r>
          </w:p>
        </w:tc>
        <w:tc>
          <w:p>
            <w:pPr>
              <w:pStyle w:val="Compact"/>
              <w:jc w:val="center"/>
            </w:pPr>
            <w:r>
              <w:t xml:space="preserve">0.73</w:t>
            </w:r>
          </w:p>
        </w:tc>
      </w:tr>
      <w:tr>
        <w:tc>
          <w:p>
            <w:pPr>
              <w:pStyle w:val="Compact"/>
              <w:jc w:val="center"/>
            </w:pPr>
            <w:r>
              <w:t xml:space="preserve">8</w:t>
            </w:r>
          </w:p>
        </w:tc>
        <w:tc>
          <w:p>
            <w:pPr>
              <w:pStyle w:val="Compact"/>
              <w:jc w:val="center"/>
            </w:pPr>
            <w:r>
              <w:t xml:space="preserve">2</w:t>
            </w:r>
          </w:p>
        </w:tc>
        <w:tc>
          <w:p>
            <w:pPr>
              <w:pStyle w:val="Compact"/>
              <w:jc w:val="center"/>
            </w:pPr>
            <w:r>
              <w:t xml:space="preserve">0.04</w:t>
            </w:r>
          </w:p>
        </w:tc>
        <w:tc>
          <w:p>
            <w:pPr>
              <w:pStyle w:val="Compact"/>
              <w:jc w:val="center"/>
            </w:pPr>
            <w:r>
              <w:t xml:space="preserve">42</w:t>
            </w:r>
          </w:p>
        </w:tc>
        <w:tc>
          <w:p>
            <w:pPr>
              <w:pStyle w:val="Compact"/>
              <w:jc w:val="center"/>
            </w:pPr>
            <w:r>
              <w:t xml:space="preserve">0.76</w:t>
            </w:r>
          </w:p>
        </w:tc>
      </w:tr>
      <w:tr>
        <w:tc>
          <w:p>
            <w:pPr>
              <w:pStyle w:val="Compact"/>
              <w:jc w:val="center"/>
            </w:pPr>
            <w:r>
              <w:t xml:space="preserve">9</w:t>
            </w:r>
          </w:p>
        </w:tc>
        <w:tc>
          <w:p>
            <w:pPr>
              <w:pStyle w:val="Compact"/>
              <w:jc w:val="center"/>
            </w:pPr>
            <w:r>
              <w:t xml:space="preserve">7</w:t>
            </w:r>
          </w:p>
        </w:tc>
        <w:tc>
          <w:p>
            <w:pPr>
              <w:pStyle w:val="Compact"/>
              <w:jc w:val="center"/>
            </w:pPr>
            <w:r>
              <w:t xml:space="preserve">0.13</w:t>
            </w:r>
          </w:p>
        </w:tc>
        <w:tc>
          <w:p>
            <w:pPr>
              <w:pStyle w:val="Compact"/>
              <w:jc w:val="center"/>
            </w:pPr>
            <w:r>
              <w:t xml:space="preserve">49</w:t>
            </w:r>
          </w:p>
        </w:tc>
        <w:tc>
          <w:p>
            <w:pPr>
              <w:pStyle w:val="Compact"/>
              <w:jc w:val="center"/>
            </w:pPr>
            <w:r>
              <w:t xml:space="preserve">0.89</w:t>
            </w:r>
          </w:p>
        </w:tc>
      </w:tr>
      <w:tr>
        <w:tc>
          <w:p>
            <w:pPr>
              <w:pStyle w:val="Compact"/>
              <w:jc w:val="center"/>
            </w:pPr>
            <w:r>
              <w:t xml:space="preserve">10</w:t>
            </w:r>
          </w:p>
        </w:tc>
        <w:tc>
          <w:p>
            <w:pPr>
              <w:pStyle w:val="Compact"/>
              <w:jc w:val="center"/>
            </w:pPr>
            <w:r>
              <w:t xml:space="preserve">4</w:t>
            </w:r>
          </w:p>
        </w:tc>
        <w:tc>
          <w:p>
            <w:pPr>
              <w:pStyle w:val="Compact"/>
              <w:jc w:val="center"/>
            </w:pPr>
            <w:r>
              <w:t xml:space="preserve">0.07</w:t>
            </w:r>
          </w:p>
        </w:tc>
        <w:tc>
          <w:p>
            <w:pPr>
              <w:pStyle w:val="Compact"/>
              <w:jc w:val="center"/>
            </w:pPr>
            <w:r>
              <w:t xml:space="preserve">53</w:t>
            </w:r>
          </w:p>
        </w:tc>
        <w:tc>
          <w:p>
            <w:pPr>
              <w:pStyle w:val="Compact"/>
              <w:jc w:val="center"/>
            </w:pPr>
            <w:r>
              <w:t xml:space="preserve">0.96</w:t>
            </w:r>
          </w:p>
        </w:tc>
      </w:tr>
      <w:tr>
        <w:tc>
          <w:p>
            <w:pPr>
              <w:pStyle w:val="Compact"/>
              <w:jc w:val="center"/>
            </w:pPr>
            <w:r>
              <w:t xml:space="preserve">13</w:t>
            </w:r>
          </w:p>
        </w:tc>
        <w:tc>
          <w:p>
            <w:pPr>
              <w:pStyle w:val="Compact"/>
              <w:jc w:val="center"/>
            </w:pPr>
            <w:r>
              <w:t xml:space="preserve">1</w:t>
            </w:r>
          </w:p>
        </w:tc>
        <w:tc>
          <w:p>
            <w:pPr>
              <w:pStyle w:val="Compact"/>
              <w:jc w:val="center"/>
            </w:pPr>
            <w:r>
              <w:t xml:space="preserve">0.02</w:t>
            </w:r>
          </w:p>
        </w:tc>
        <w:tc>
          <w:p>
            <w:pPr>
              <w:pStyle w:val="Compact"/>
              <w:jc w:val="center"/>
            </w:pPr>
            <w:r>
              <w:t xml:space="preserve">54</w:t>
            </w:r>
          </w:p>
        </w:tc>
        <w:tc>
          <w:p>
            <w:pPr>
              <w:pStyle w:val="Compact"/>
              <w:jc w:val="center"/>
            </w:pPr>
            <w:r>
              <w:t xml:space="preserve">0.98</w:t>
            </w:r>
          </w:p>
        </w:tc>
      </w:tr>
      <w:tr>
        <w:tc>
          <w:p>
            <w:pPr>
              <w:pStyle w:val="Compact"/>
              <w:jc w:val="center"/>
            </w:pPr>
            <w:r>
              <w:t xml:space="preserve">18</w:t>
            </w:r>
          </w:p>
        </w:tc>
        <w:tc>
          <w:p>
            <w:pPr>
              <w:pStyle w:val="Compact"/>
              <w:jc w:val="center"/>
            </w:pPr>
            <w:r>
              <w:t xml:space="preserve">1</w:t>
            </w:r>
          </w:p>
        </w:tc>
        <w:tc>
          <w:p>
            <w:pPr>
              <w:pStyle w:val="Compact"/>
              <w:jc w:val="center"/>
            </w:pPr>
            <w:r>
              <w:t xml:space="preserve">0.02</w:t>
            </w:r>
          </w:p>
        </w:tc>
        <w:tc>
          <w:p>
            <w:pPr>
              <w:pStyle w:val="Compact"/>
              <w:jc w:val="center"/>
            </w:pPr>
            <w:r>
              <w:t xml:space="preserve">55</w:t>
            </w:r>
          </w:p>
        </w:tc>
        <w:tc>
          <w:p>
            <w:pPr>
              <w:pStyle w:val="Compact"/>
              <w:jc w:val="center"/>
            </w:pPr>
            <w:r>
              <w:t xml:space="preserve">1.00</w:t>
            </w:r>
          </w:p>
        </w:tc>
      </w:tr>
    </w:tbl>
    <w:p>
      <w:pPr>
        <w:pStyle w:val="Corpsdetexte"/>
      </w:pPr>
      <w:r>
        <w:t xml:space="preserve">La Figure 3.14 est une représentation graphique des données de la Table 3.14.</w:t>
      </w:r>
    </w:p>
    <w:p>
      <w:pPr>
        <w:pStyle w:val="Corpsdetexte"/>
      </w:pPr>
      <w:r>
        <w:t xml:space="preserve">Figure 3.14</w:t>
      </w:r>
      <w:r>
        <w:br w:type="textWrapping"/>
      </w:r>
      <w:r>
        <w:rPr>
          <w:i/>
        </w:rPr>
        <w:t xml:space="preserve">Boîte à moustache représentant les données de la Table 3.14</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_data3.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pPr>
        <w:pStyle w:val="Corpsdetexte"/>
      </w:pPr>
      <w:r>
        <w:t xml:space="preserve">La</w:t>
      </w:r>
      <w:r>
        <w:t xml:space="preserve"> </w:t>
      </w:r>
      <w:r>
        <w:rPr>
          <w:b/>
        </w:rPr>
        <w:t xml:space="preserve">boîte centrale</w:t>
      </w:r>
      <w:r>
        <w:t xml:space="preserve"> </w:t>
      </w:r>
      <w:r>
        <w:t xml:space="preserve">(en bleu) s’étend du premier quartile (la limite inférieure de la boîte centrale = 3) au troisème quartile (= la limite supérieure de la boîte centrale = 8). Elle correspond donc aux 50% des données centrales de la distribution. La distance qui sépare Q1 et Q3 s’appelle</w:t>
      </w:r>
      <w:r>
        <w:t xml:space="preserve"> </w:t>
      </w:r>
      <w:r>
        <w:rPr>
          <w:b/>
        </w:rPr>
        <w:t xml:space="preserve">l’écart inter-quartile</w:t>
      </w:r>
      <w:r>
        <w:t xml:space="preserve"> </w:t>
      </w:r>
      <w:r>
        <w:t xml:space="preserve">et se calcule comme suit: Q3 - Q1 = 8-3=5. L’écart inter-quartile est une mesure de dispersion. Ce type de mesure sera décrit ultérieurement.</w:t>
      </w:r>
    </w:p>
    <w:p>
      <w:pPr>
        <w:pStyle w:val="Corpsdetexte"/>
      </w:pPr>
      <w:r>
        <w:t xml:space="preserve">La barre à l’intérieur de la boîte représente la</w:t>
      </w:r>
      <w:r>
        <w:t xml:space="preserve"> </w:t>
      </w:r>
      <w:r>
        <w:rPr>
          <w:b/>
        </w:rPr>
        <w:t xml:space="preserve">médiane</w:t>
      </w:r>
      <w:r>
        <w:t xml:space="preserve"> </w:t>
      </w:r>
      <w:r>
        <w:t xml:space="preserve">(valant 5 dans l’exemple de la Table 3.14). La position de la médiane à l’intérieur de la boîte indique le degré de symétrie ou d’asymétrie de la portion centrale de la distribution.</w:t>
      </w:r>
    </w:p>
    <w:p>
      <w:pPr>
        <w:pStyle w:val="Corpsdetexte"/>
      </w:pPr>
      <w:r>
        <w:t xml:space="preserve">Les</w:t>
      </w:r>
      <w:r>
        <w:t xml:space="preserve"> </w:t>
      </w:r>
      <w:r>
        <w:rPr>
          <w:b/>
        </w:rPr>
        <w:t xml:space="preserve">moustaches</w:t>
      </w:r>
      <w:r>
        <w:t xml:space="preserve"> </w:t>
      </w:r>
      <w:r>
        <w:t xml:space="preserve">(les lignes qui sortent de part et d’autre de la boîte centrale) dépendent des</w:t>
      </w:r>
      <w:r>
        <w:t xml:space="preserve"> </w:t>
      </w:r>
      <w:r>
        <w:rPr>
          <w:b/>
        </w:rPr>
        <w:t xml:space="preserve">barrières</w:t>
      </w:r>
      <w:r>
        <w:t xml:space="preserve"> </w:t>
      </w:r>
      <w:r>
        <w:t xml:space="preserve">qui sont situées à une distance de 1,5 l’écart inter-quartile (soit la longueur de la boîte) de part et d’autre de la boîte. Etant donné que dans l’exemple développé, l’écart inter-quartile vaut 5, les barrières s’éloigneront de</w:t>
      </w:r>
      <w:r>
        <w:t xml:space="preserve"> </w:t>
      </w:r>
      <m:oMath>
        <m:r>
          <m:t>1</m:t>
        </m:r>
        <m:r>
          <m:t>,</m:t>
        </m:r>
        <m:r>
          <m:t>5</m:t>
        </m:r>
        <m:r>
          <m:t>×</m:t>
        </m:r>
        <m:r>
          <m:t>5</m:t>
        </m:r>
        <m:r>
          <m:t>=</m:t>
        </m:r>
        <m:r>
          <m:t>7.5</m:t>
        </m:r>
      </m:oMath>
      <w:r>
        <w:t xml:space="preserve"> </w:t>
      </w:r>
      <w:r>
        <w:t xml:space="preserve">points des extrémités de la boîte centrale. En conséquence:</w:t>
      </w:r>
    </w:p>
    <w:p>
      <w:pPr>
        <w:numPr>
          <w:numId w:val="1010"/>
          <w:ilvl w:val="0"/>
        </w:numPr>
      </w:pPr>
      <w:r>
        <w:t xml:space="preserve">la barrière supérieure vaut 8+7.5= 15.5</w:t>
      </w:r>
    </w:p>
    <w:p>
      <w:pPr>
        <w:numPr>
          <w:numId w:val="1010"/>
          <w:ilvl w:val="0"/>
        </w:numPr>
      </w:pPr>
      <w:r>
        <w:t xml:space="preserve">la barrière inférieure vaut 3-7.5= -4.5</w:t>
      </w:r>
    </w:p>
    <w:p>
      <w:pPr>
        <w:pStyle w:val="FirstParagraph"/>
      </w:pPr>
      <w:r>
        <w:t xml:space="preserve">Cependant, une fois les barrières déterminées, il se peut qu’elles ne correspondent à aucune valeur existante de la distribution. Nous allons donc observer les valeurs adjacentes à l’intérieur des barrières. Les scores de la variables étudiée qui se situent à l’</w:t>
      </w:r>
      <w:r>
        <w:rPr>
          <w:b/>
        </w:rPr>
        <w:t xml:space="preserve">intérieur</w:t>
      </w:r>
      <w:r>
        <w:t xml:space="preserve"> </w:t>
      </w:r>
      <w:r>
        <w:t xml:space="preserve">des barrières varient de 1 à 13. Donc, la valeur adjacente inférieure est de 1 et la valeur adjacente supérieure est de 13. C’est à ces valeurs adjacentes que correspondent les extrémités visibles des moustaches.</w:t>
      </w:r>
    </w:p>
    <w:p>
      <w:pPr>
        <w:pStyle w:val="Corpsdetexte"/>
      </w:pPr>
      <w:r>
        <w:t xml:space="preserve">Les</w:t>
      </w:r>
      <w:r>
        <w:t xml:space="preserve"> </w:t>
      </w:r>
      <w:r>
        <w:rPr>
          <w:b/>
        </w:rPr>
        <w:t xml:space="preserve">valeurs extrêmes</w:t>
      </w:r>
      <w:r>
        <w:t xml:space="preserve"> </w:t>
      </w:r>
      <w:r>
        <w:t xml:space="preserve">sont les points de part et d’autres des moustaches. Ce sont des valeurs qui sont supérieures à la barrière supérieure, ou inférieures à la barrière inférieure. Elles correspondent à des valeurs dont le score semble anormalement élevé ou bas, compte tenu de l’ensemble des observations étudiées. Ce serait par exemple le casde l’âge d’un individu ayant 51 ans, dans une étude consacrée à des adolescents.</w:t>
      </w:r>
    </w:p>
    <w:p>
      <w:pPr>
        <w:pStyle w:val="Corpsdetexte"/>
      </w:pPr>
      <w:r>
        <w:t xml:space="preserve">Le boxplot a pour avantage de permettre de détecter très rapidement ces valeurs extrêmes. Par ailleurs, elle permet de se représenter mentalement l’allure de la distribution: est-elle symétrique ou asymétrique?</w:t>
      </w:r>
    </w:p>
    <w:p>
      <w:pPr>
        <w:pStyle w:val="Titre3"/>
      </w:pPr>
      <w:bookmarkStart w:id="74" w:name="variables-quantitatives-continues-1"/>
      <w:bookmarkEnd w:id="74"/>
      <w:r>
        <w:t xml:space="preserve">Variables quantitatives continues</w:t>
      </w:r>
    </w:p>
    <w:p>
      <w:pPr>
        <w:pStyle w:val="Titre4"/>
      </w:pPr>
      <w:bookmarkStart w:id="75" w:name="simplification-des-donnees-calcul-de-la-mediane-et-des-quartiles-1"/>
      <w:bookmarkEnd w:id="75"/>
      <w:r>
        <w:t xml:space="preserve">Simplification des données: calcul de la médiane et des quartiles</w:t>
      </w:r>
    </w:p>
    <w:p>
      <w:pPr>
        <w:pStyle w:val="Titre5"/>
      </w:pPr>
      <w:bookmarkStart w:id="76" w:name="au-depart-de-donnees-brutes-1"/>
      <w:bookmarkEnd w:id="76"/>
      <w:r>
        <w:t xml:space="preserve">Au départ de données brutes</w:t>
      </w:r>
    </w:p>
    <w:p>
      <w:pPr>
        <w:pStyle w:val="FirstParagraph"/>
      </w:pPr>
      <w:r>
        <w:t xml:space="preserve">Lorsque les données brutes sont fournies, le calcul de la médiane se réalise exactement de la même manière que pour les données quantitatives discrètes. Je vous renvoie donc à la section antérieure sur les variables quantitatives discrètes.</w:t>
      </w:r>
    </w:p>
    <w:p>
      <w:pPr>
        <w:pStyle w:val="Titre5"/>
      </w:pPr>
      <w:bookmarkStart w:id="77" w:name="au-depart-de-tableaux-de-frequences-1"/>
      <w:bookmarkEnd w:id="77"/>
      <w:r>
        <w:t xml:space="preserve">Au départ de tableaux de fréquences</w:t>
      </w:r>
    </w:p>
    <w:p>
      <w:pPr>
        <w:pStyle w:val="FirstParagraph"/>
      </w:pPr>
      <w:r>
        <w:t xml:space="preserve">Au début du chapitre, il a été vu que réaliser un tableau de fréquences de données continues implique préalablement de regrouper les valeurs par classe. Bien que ces regroupements constituent une perte d’information, il est malgré tout possible d’estimer la valeur de la médiane et des quantiles, en utilisant le</w:t>
      </w:r>
      <w:r>
        <w:t xml:space="preserve"> </w:t>
      </w:r>
      <w:r>
        <w:rPr>
          <w:b/>
        </w:rPr>
        <w:t xml:space="preserve">polygone des effectifs</w:t>
      </w:r>
      <w:r>
        <w:t xml:space="preserve">.</w:t>
      </w:r>
    </w:p>
    <w:p>
      <w:pPr>
        <w:pStyle w:val="Corpsdetexte"/>
      </w:pPr>
      <w:r>
        <w:t xml:space="preserve">Revenons une fois encore à l’exemple du PIB de la Table 3.6 dont je reproduis ci-dessous le polygone des effectifs cumulés, pour votre convénience. Comme vous l’aurez compris, travailler sur le graphique dans lequel l’axe des y représente les fréquences absolues cumulées, ou dans celui sur lequel l’axe des y représente les fréquences relatives cumulées revient au même. Comme je trouve personnellement plus facile d’utiliser celui qui représente les fréquences relatives cumulées, j’opte pour ce choix.</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cumpolygon_PIB2-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fréquence cumulée de la valeur 10000 vaut 44.44 (soit une valeur inférieure à .5 ou 50%). La fréquence cumulée de la valeur 30000 vaut 20 (soit une valeur supérieure à .5 ou 50%). Je sais donc que la valeur de la médiane se situera entre 10^{4} et 3</w:t>
      </w:r>
      <w:r>
        <w:t xml:space="preserve">10^{4} et sera telle qu’il y ait exactement 50% des observations à sa gauche, et 50% des observations à sa droite. Une simple règle de trois permet de déterminer sa valeur: il y a une distance de 20 unités entre 64.44% et 44.44%. Sur l’axe des x, cette distance est projetée sur une distance de 20000 (soit l’écart entre les deux centres de classes).</w:t>
      </w:r>
    </w:p>
    <w:p>
      <w:pPr>
        <w:pStyle w:val="Corpsdetexte"/>
      </w:pPr>
      <w:r>
        <w:t xml:space="preserve">Il y a une distance de 5.56 unités entre 50% et 44.44%. Par règle de trois, on en déduit que cela correspond à une distance de</w:t>
      </w:r>
      <w:r>
        <w:t xml:space="preserve"> </w:t>
      </w:r>
      <m:oMath>
        <m:f>
          <m:fPr>
            <m:type m:val="bar"/>
          </m:fPr>
          <m:num>
            <m:r>
              <m:t>20000</m:t>
            </m:r>
          </m:num>
          <m:den>
            <m:r>
              <m:t>20</m:t>
            </m:r>
          </m:den>
        </m:f>
        <m:r>
          <m:t>×</m:t>
        </m:r>
        <m:r>
          <m:t>5.56</m:t>
        </m:r>
        <m:r>
          <m:t>=</m:t>
        </m:r>
        <m:r>
          <m:t>5560</m:t>
        </m:r>
      </m:oMath>
      <w:r>
        <w:t xml:space="preserve"> </w:t>
      </w:r>
      <w:r>
        <w:t xml:space="preserve">sur l’axe des x. Par conséquent, la médiane sera estimée à 10000+5560 = 15560.</w:t>
      </w:r>
    </w:p>
    <w:p>
      <w:pPr>
        <w:pStyle w:val="Corpsdetexte"/>
      </w:pPr>
      <w:r>
        <w:t xml:space="preserve">En suivant un raisonnement identique, l’on estime les valeurs du premier et troisième quartile… A FAIRE!</w:t>
      </w:r>
    </w:p>
    <w:p>
      <w:pPr>
        <w:pStyle w:val="Titre4"/>
      </w:pPr>
      <w:bookmarkStart w:id="79" w:name="realisation-graphique-le-boxplot"/>
      <w:bookmarkEnd w:id="79"/>
      <w:r>
        <w:t xml:space="preserve">Réalisation graphique: le boxplot</w:t>
      </w:r>
    </w:p>
    <w:p>
      <w:pPr>
        <w:pStyle w:val="FirstParagraph"/>
      </w:pPr>
      <w:r>
        <w:t xml:space="preserve">A nouveau, le boxplot se déroulement de manière identique à ce qui a été vu dans le chapitre sur les variables quantitatives discrètes. Seule la manière de déterminer la médiane ainsi que les premier et troisième quartile diffère.</w:t>
      </w:r>
    </w:p>
    <w:p>
      <w:pPr>
        <w:pStyle w:val="Titre6"/>
      </w:pPr>
      <w:bookmarkStart w:id="80" w:name="pagebreak-5"/>
      <w:bookmarkEnd w:id="80"/>
      <w:r>
        <w:t xml:space="preserve">Pagebreak</w:t>
      </w:r>
    </w:p>
    <w:p>
      <w:pPr>
        <w:pStyle w:val="Titre1"/>
      </w:pPr>
      <w:bookmarkStart w:id="81" w:name="chapitre-4-exploration-algebrique-des-donnees-a-une-dimension"/>
      <w:bookmarkEnd w:id="81"/>
      <w:r>
        <w:t xml:space="preserve">Chapitre 4: exploration algébrique des données à une dimension</w:t>
      </w:r>
    </w:p>
    <w:p>
      <w:pPr>
        <w:pStyle w:val="FirstParagraph"/>
      </w:pPr>
      <w:r>
        <w:t xml:space="preserve">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p>
    <w:p>
      <w:pPr>
        <w:pStyle w:val="Compact"/>
        <w:numPr>
          <w:numId w:val="1011"/>
          <w:ilvl w:val="0"/>
        </w:numPr>
      </w:pPr>
      <w:r>
        <w:t xml:space="preserve">Les mesures de</w:t>
      </w:r>
      <w:r>
        <w:t xml:space="preserve"> </w:t>
      </w:r>
      <w:r>
        <w:rPr>
          <w:b/>
        </w:rPr>
        <w:t xml:space="preserve">tendance centrale</w:t>
      </w:r>
      <w:r>
        <w:t xml:space="preserve">:mesure qui permet de représenter au mieux un ensemble données par une valeur unique</w:t>
      </w:r>
    </w:p>
    <w:p>
      <w:pPr>
        <w:pStyle w:val="Compact"/>
        <w:numPr>
          <w:numId w:val="1011"/>
          <w:ilvl w:val="0"/>
        </w:numPr>
      </w:pPr>
      <w:r>
        <w:t xml:space="preserve">Les mesures de</w:t>
      </w:r>
      <w:r>
        <w:t xml:space="preserve"> </w:t>
      </w:r>
      <w:r>
        <w:rPr>
          <w:b/>
        </w:rPr>
        <w:t xml:space="preserve">dispersion</w:t>
      </w:r>
      <w:r>
        <w:t xml:space="preserve">: mesure du degré auquel les données s’éloignent de la tendance centrale</w:t>
      </w:r>
    </w:p>
    <w:p>
      <w:pPr>
        <w:pStyle w:val="Compact"/>
        <w:numPr>
          <w:numId w:val="1011"/>
          <w:ilvl w:val="0"/>
        </w:numPr>
      </w:pPr>
      <w:r>
        <w:t xml:space="preserve">Les mesures d’</w:t>
      </w:r>
      <w:r>
        <w:rPr>
          <w:b/>
        </w:rPr>
        <w:t xml:space="preserve">asymétrie</w:t>
      </w:r>
      <w:r>
        <w:t xml:space="preserve"> </w:t>
      </w:r>
      <w:r>
        <w:t xml:space="preserve">et d’</w:t>
      </w:r>
      <w:r>
        <w:rPr>
          <w:b/>
        </w:rPr>
        <w:t xml:space="preserve">aplatissement</w:t>
      </w:r>
      <w:r>
        <w:rPr>
          <w:b/>
        </w:rPr>
        <w:t xml:space="preserve"> </w:t>
      </w:r>
      <w:r>
        <w:t xml:space="preserve">: mesures liées à la forme de la distribution.</w:t>
      </w:r>
    </w:p>
    <w:p>
      <w:pPr>
        <w:pStyle w:val="Titre2"/>
      </w:pPr>
      <w:bookmarkStart w:id="82" w:name="mesures-de-tendance-centrale"/>
      <w:bookmarkEnd w:id="82"/>
      <w:r>
        <w:t xml:space="preserve">Mesures de tendance centrale</w:t>
      </w:r>
    </w:p>
    <w:p>
      <w:pPr>
        <w:pStyle w:val="FirstParagraph"/>
      </w:pPr>
      <w:r>
        <w:t xml:space="preserve">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pPr>
        <w:pStyle w:val="Corpsdetexte"/>
      </w:pPr>
      <w:r>
        <w:t xml:space="preserve">Table 4.1</w:t>
      </w:r>
      <w:r>
        <w:br w:type="textWrapping"/>
      </w:r>
      <w:r>
        <w:rPr>
          <w:i/>
        </w:rPr>
        <w:t xml:space="preserve">Extrait de la Table 1.1 : ancienneté de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Y</m:t>
                  </m:r>
                </m:e>
                <m:sub>
                  <m:r>
                    <m:t>i</m:t>
                  </m:r>
                </m:sub>
              </m:sSub>
            </m:oMath>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7</w:t>
            </w:r>
          </w:p>
        </w:tc>
        <w:tc>
          <w:p>
            <w:pPr>
              <w:pStyle w:val="Compact"/>
              <w:jc w:val="center"/>
            </w:pPr>
            <w:r>
              <w:t xml:space="preserve">10</w:t>
            </w:r>
          </w:p>
        </w:tc>
        <w:tc>
          <w:p>
            <w:pPr>
              <w:pStyle w:val="Compact"/>
              <w:jc w:val="center"/>
            </w:pPr>
            <w:r>
              <w:t xml:space="preserve">8</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Corpsdetexte"/>
      </w:pPr>
      <w:r>
        <w:t xml:space="preserve">Pour rappel, on utilise une lettre majuscule indicée par</w:t>
      </w:r>
      <w:r>
        <w:t xml:space="preserve"> </w:t>
      </w:r>
      <w:r>
        <w:rPr>
          <w:i/>
        </w:rPr>
        <w:t xml:space="preserve">i</w:t>
      </w:r>
      <w:r>
        <w:t xml:space="preserve"> </w:t>
      </w:r>
      <w:r>
        <w:t xml:space="preserve">pour décrire les données brutes (</w:t>
      </w:r>
      <m:oMath>
        <m:sSub>
          <m:e>
            <m:r>
              <m:t>Y</m:t>
            </m:r>
          </m:e>
          <m:sub>
            <m:r>
              <m:t>i</m:t>
            </m:r>
          </m:sub>
        </m:sSub>
      </m:oMath>
      <w:r>
        <w:t xml:space="preserve"> </w:t>
      </w:r>
      <w:r>
        <w:t xml:space="preserve">= la valeur du ième sujet sur la variable Y), et une lettre minuscule indicée par</w:t>
      </w:r>
      <w:r>
        <w:t xml:space="preserve"> </w:t>
      </w:r>
      <w:r>
        <w:rPr>
          <w:i/>
        </w:rPr>
        <w:t xml:space="preserve">j</w:t>
      </w:r>
      <w:r>
        <w:t xml:space="preserve"> </w:t>
      </w:r>
      <w:r>
        <w:t xml:space="preserve">lorsqu’on parle des valeurs de la variable Y dans un tableau de fréquence (</w:t>
      </w:r>
      <m:oMath>
        <m:sSub>
          <m:e>
            <m:r>
              <m:t>y</m:t>
            </m:r>
          </m:e>
          <m:sub>
            <m:r>
              <m:t>j</m:t>
            </m:r>
          </m:sub>
        </m:sSub>
      </m:oMath>
      <w:r>
        <w:t xml:space="preserve"> </w:t>
      </w:r>
      <w:r>
        <w:t xml:space="preserve">= la jème valeur que peut prenre la variable Y).</w:t>
      </w:r>
    </w:p>
    <w:p>
      <w:pPr>
        <w:pStyle w:val="Titre3"/>
      </w:pPr>
      <w:bookmarkStart w:id="83" w:name="mode"/>
      <w:bookmarkEnd w:id="83"/>
      <w:r>
        <w:t xml:space="preserve">Mode</w:t>
      </w:r>
    </w:p>
    <w:p>
      <w:pPr>
        <w:pStyle w:val="FirstParagraph"/>
      </w:pPr>
      <w:r>
        <w:t xml:space="preserve">Le mode correspond à la classe la plus représentée. Dans la Table 4.1 (a ou b), vous consaterez aisément que 8 est le nombre d’années d’ancienneté le plus représenté, puisque</w:t>
      </w:r>
      <w:r>
        <w:t xml:space="preserve"> </w:t>
      </w:r>
      <w:r>
        <w:t xml:space="preserve">5 employés ont cette ancienneté. C’est donc le mode de la distribution.</w:t>
      </w:r>
    </w:p>
    <w:p>
      <w:pPr>
        <w:pStyle w:val="Corpsdetexte"/>
      </w:pPr>
      <w:r>
        <w:t xml:space="preserve">Remarquez qu’une distribution peut être multimodale. Par exemple, dans la série de la table Table 4.2, il y a deux valeurs plus représentées que les autres: ce sont les valeurs 21 et 30. Quand il y a deux modes, on parle plus spécifiquement de distribution bimodale.</w:t>
      </w:r>
    </w:p>
    <w:p>
      <w:pPr>
        <w:pStyle w:val="Corpsdetexte"/>
      </w:pPr>
      <w:r>
        <w:t xml:space="preserve">Table 4.2</w:t>
      </w:r>
      <w:r>
        <w:br w:type="textWrapping"/>
      </w:r>
      <w:r>
        <w:rPr>
          <w:i/>
        </w:rPr>
        <w:t xml:space="preserve">Extrait de la Table 1.1 : âge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X</m:t>
                  </m:r>
                </m:e>
                <m:sub>
                  <m:r>
                    <m:t>i</m:t>
                  </m:r>
                </m:sub>
              </m:sSub>
            </m:oMath>
          </w:p>
        </w:tc>
        <w:tc>
          <w:p>
            <w:pPr>
              <w:pStyle w:val="Compact"/>
              <w:jc w:val="center"/>
            </w:pPr>
            <w:r>
              <w:t xml:space="preserve">19</w:t>
            </w:r>
          </w:p>
        </w:tc>
        <w:tc>
          <w:p>
            <w:pPr>
              <w:pStyle w:val="Compact"/>
              <w:jc w:val="center"/>
            </w:pPr>
            <w:r>
              <w:t xml:space="preserve">25</w:t>
            </w:r>
          </w:p>
        </w:tc>
        <w:tc>
          <w:p>
            <w:pPr>
              <w:pStyle w:val="Compact"/>
              <w:jc w:val="center"/>
            </w:pPr>
            <w:r>
              <w:t xml:space="preserve">21</w:t>
            </w:r>
          </w:p>
        </w:tc>
        <w:tc>
          <w:p>
            <w:pPr>
              <w:pStyle w:val="Compact"/>
              <w:jc w:val="center"/>
            </w:pPr>
            <w:r>
              <w:t xml:space="preserve">27</w:t>
            </w:r>
          </w:p>
        </w:tc>
        <w:tc>
          <w:p>
            <w:pPr>
              <w:pStyle w:val="Compact"/>
              <w:jc w:val="center"/>
            </w:pPr>
            <w:r>
              <w:t xml:space="preserve">30</w:t>
            </w:r>
          </w:p>
        </w:tc>
        <w:tc>
          <w:p>
            <w:pPr>
              <w:pStyle w:val="Compact"/>
              <w:jc w:val="center"/>
            </w:pPr>
            <w:r>
              <w:t xml:space="preserve">32</w:t>
            </w:r>
          </w:p>
        </w:tc>
        <w:tc>
          <w:p>
            <w:pPr>
              <w:pStyle w:val="Compact"/>
              <w:jc w:val="center"/>
            </w:pPr>
            <w:r>
              <w:t xml:space="preserve">30</w:t>
            </w:r>
          </w:p>
        </w:tc>
        <w:tc>
          <w:p>
            <w:pPr>
              <w:pStyle w:val="Compact"/>
              <w:jc w:val="center"/>
            </w:pPr>
            <w:r>
              <w:t xml:space="preserve">19</w:t>
            </w:r>
          </w:p>
        </w:tc>
        <w:tc>
          <w:p>
            <w:pPr>
              <w:pStyle w:val="Compact"/>
              <w:jc w:val="center"/>
            </w:pPr>
            <w:r>
              <w:t xml:space="preserve">21</w:t>
            </w:r>
          </w:p>
        </w:tc>
        <w:tc>
          <w:p>
            <w:pPr>
              <w:pStyle w:val="Compact"/>
              <w:jc w:val="center"/>
            </w:pPr>
            <w:r>
              <w:t xml:space="preserve">21</w:t>
            </w:r>
          </w:p>
        </w:tc>
        <w:tc>
          <w:p>
            <w:pPr>
              <w:pStyle w:val="Compact"/>
              <w:jc w:val="center"/>
            </w:pPr>
            <w:r>
              <w:t xml:space="preserve">24</w:t>
            </w:r>
          </w:p>
        </w:tc>
        <w:tc>
          <w:p>
            <w:pPr>
              <w:pStyle w:val="Compact"/>
              <w:jc w:val="center"/>
            </w:pPr>
            <w:r>
              <w:t xml:space="preserve">27</w:t>
            </w:r>
          </w:p>
        </w:tc>
        <w:tc>
          <w:p>
            <w:pPr>
              <w:pStyle w:val="Compact"/>
              <w:jc w:val="center"/>
            </w:pPr>
            <w:r>
              <w:t xml:space="preserve">26</w:t>
            </w:r>
          </w:p>
        </w:tc>
        <w:tc>
          <w:p>
            <w:pPr>
              <w:pStyle w:val="Compact"/>
              <w:jc w:val="center"/>
            </w:pPr>
            <w:r>
              <w:t xml:space="preserve">30</w:t>
            </w:r>
          </w:p>
        </w:tc>
        <w:tc>
          <w:p>
            <w:pPr>
              <w:pStyle w:val="Compact"/>
              <w:jc w:val="center"/>
            </w:pPr>
            <w:r>
              <w:t xml:space="preserve">26</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Corpsdetexte"/>
      </w:pPr>
      <w:r>
        <w:t xml:space="preserve">Le grand avantage du mode est d’être insensible aux valeurs extrêmes. Imaginons que par exemple, j’ai encodé par erreur que l’ancienneté du sujet 14,</w:t>
      </w:r>
      <w:r>
        <w:t xml:space="preserve"> </w:t>
      </w:r>
      <m:oMath>
        <m:sSub>
          <m:e>
            <m:r>
              <m:t>Y</m:t>
            </m:r>
          </m:e>
          <m:sub>
            <m:r>
              <m:t>14</m:t>
            </m:r>
          </m:sub>
        </m:sSub>
      </m:oMath>
      <w:r>
        <w:t xml:space="preserve">= 100 ou même 1000 au lieu de 10. Le mode resterait identique, ce serait 8. Ca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pPr>
        <w:pStyle w:val="Titre3"/>
      </w:pPr>
      <w:bookmarkStart w:id="84" w:name="moyenne"/>
      <w:bookmarkEnd w:id="84"/>
      <w:r>
        <w:t xml:space="preserve">Moyenne</w:t>
      </w:r>
    </w:p>
    <w:p>
      <w:pPr>
        <w:pStyle w:val="FirstParagraph"/>
      </w:pPr>
      <w:r>
        <w:t xml:space="preserve">Lorsqu’on parle de moyenne statistique, on entend toujours (à notre niveau) la moyenne arithmétique. Si l’on part des données brutes, la moyenne arithmétique peut se calculer en prenant la somme des valeurs de la variable dont on veut calculer la moyenne, et en divisant cette somme par le nombre de valeurs qui constituent cette somme. La moyenne arithématique se symbolise par une barre horizontale placée au dessus de la lettre majuscule qui représente la variable étudiée. Dans les formules, nous utilisons généralement la lettre</w:t>
      </w:r>
      <w:r>
        <w:t xml:space="preserve"> </w:t>
      </w:r>
      <w:r>
        <w:t xml:space="preserve">“</w:t>
      </w:r>
      <w:r>
        <w:t xml:space="preserve">X</w:t>
      </w:r>
      <w:r>
        <w:t xml:space="preserve">”</w:t>
      </w:r>
      <w:r>
        <w:t xml:space="preserve">, mais cette lettre peut être remplacée par n’importe quelle autre lettre représentant une variable). Pour reprendre l’exemple de la Table 4.1, dans la mesure où l’ancienneté est représentée par la lettre Y, la moyenne de cette variable se notera</w:t>
      </w:r>
      <w:r>
        <w:t xml:space="preserve"> </w:t>
      </w:r>
      <m:oMath>
        <m:bar>
          <m:barPr>
            <m:pos m:val="top"/>
          </m:barPr>
          <m:e>
            <m:r>
              <m:t>Y</m:t>
            </m:r>
          </m:e>
        </m:bar>
      </m:oMath>
      <w:r>
        <w:t xml:space="preserve">.</w:t>
      </w:r>
    </w:p>
    <w:p>
      <w:pPr>
        <w:pStyle w:val="Corpsdetexte"/>
      </w:pPr>
      <w:r>
        <w:rPr>
          <w:b/>
        </w:rPr>
        <w:t xml:space="preserve">Formule de la moyenne arithmétique calculée à partir des données brutes de l’ancienneté</w:t>
      </w:r>
      <w:r>
        <w:rPr>
          <w:b/>
        </w:rPr>
        <w:t xml:space="preserve"> </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bar>
            <m:barPr>
              <m:pos m:val="top"/>
            </m:barPr>
            <m:e>
              <m:r>
                <m:t>Y</m:t>
              </m:r>
            </m:e>
          </m:bar>
          <m:r>
            <m:t>=</m:t>
          </m:r>
          <m:f>
            <m:fPr>
              <m:type m:val="bar"/>
            </m:fPr>
            <m:num>
              <m:r>
                <m:t>1</m:t>
              </m:r>
              <m:r>
                <m:t>+</m:t>
              </m:r>
              <m:r>
                <m:t>5</m:t>
              </m:r>
              <m:r>
                <m:t>+</m:t>
              </m:r>
              <m:r>
                <m:t>2</m:t>
              </m:r>
              <m:r>
                <m:t>+</m:t>
              </m:r>
              <m:r>
                <m:t>8</m:t>
              </m:r>
              <m:r>
                <m:t>+</m:t>
              </m:r>
              <m:r>
                <m:t>8</m:t>
              </m:r>
              <m:r>
                <m:t>+</m:t>
              </m:r>
              <m:r>
                <m:t>9</m:t>
              </m:r>
              <m:r>
                <m:t>+</m:t>
              </m:r>
              <m:r>
                <m:t>9</m:t>
              </m:r>
              <m:r>
                <m:t>+</m:t>
              </m:r>
              <m:r>
                <m:t>1</m:t>
              </m:r>
              <m:r>
                <m:t>+</m:t>
              </m:r>
              <m:r>
                <m:t>1</m:t>
              </m:r>
              <m:r>
                <m:t>+</m:t>
              </m:r>
              <m:r>
                <m:t>1</m:t>
              </m:r>
              <m:r>
                <m:t>+</m:t>
              </m:r>
              <m:r>
                <m:t>8</m:t>
              </m:r>
              <m:r>
                <m:t>+</m:t>
              </m:r>
              <m:r>
                <m:t>8</m:t>
              </m:r>
              <m:r>
                <m:t>+</m:t>
              </m:r>
              <m:r>
                <m:t>7</m:t>
              </m:r>
              <m:r>
                <m:t>+</m:t>
              </m:r>
              <m:r>
                <m:t>10</m:t>
              </m:r>
              <m:r>
                <m:t>+</m:t>
              </m:r>
              <m:r>
                <m:t>8</m:t>
              </m:r>
            </m:num>
            <m:den>
              <m:r>
                <m:t>15</m:t>
              </m:r>
            </m:den>
          </m:f>
          <m:r>
            <m:t>=</m:t>
          </m:r>
          <m:f>
            <m:fPr>
              <m:type m:val="bar"/>
            </m:fPr>
            <m:num>
              <m:r>
                <m:t>86</m:t>
              </m:r>
            </m:num>
            <m:den>
              <m:r>
                <m:t>15</m:t>
              </m:r>
            </m:den>
          </m:f>
          <m:r>
            <m:t>=</m:t>
          </m:r>
          <m:r>
            <m:t>5.73</m:t>
          </m:r>
        </m:oMath>
      </m:oMathPara>
    </w:p>
    <w:p>
      <w:pPr>
        <w:pStyle w:val="FirstParagraph"/>
      </w:pPr>
      <w:r>
        <w:t xml:space="preserve">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pPr>
        <w:pStyle w:val="Corpsdetexte"/>
      </w:pPr>
      <w:r>
        <w:rPr>
          <w:b/>
        </w:rPr>
        <w:t xml:space="preserve">Formule de la moyenne arithmétique calculée à partir d’un tableau de fréquence</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j</m:t>
                  </m:r>
                  <m:r>
                    <m:t>=</m:t>
                  </m:r>
                  <m:r>
                    <m:t>1</m:t>
                  </m:r>
                </m:sub>
                <m:sup>
                  <m:r>
                    <m:t>k</m:t>
                  </m:r>
                </m:sup>
                <m:e>
                  <m:sSub>
                    <m:e>
                      <m:r>
                        <m:t>n</m:t>
                      </m:r>
                    </m:e>
                    <m:sub>
                      <m:r>
                        <m:t>j</m:t>
                      </m:r>
                    </m:sub>
                  </m:sSub>
                </m:e>
              </m:nary>
              <m:r>
                <m:t>×</m:t>
              </m:r>
              <m:sSub>
                <m:e>
                  <m:r>
                    <m:t>x</m:t>
                  </m:r>
                </m:e>
                <m:sub>
                  <m:r>
                    <m:t>j</m:t>
                  </m:r>
                </m:sub>
              </m:sSub>
            </m:num>
            <m:den>
              <m:r>
                <m:t>n</m:t>
              </m:r>
            </m:den>
          </m:f>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X</m:t>
              </m:r>
            </m:e>
          </m:bar>
          <m:r>
            <m:t>=</m:t>
          </m:r>
          <m:nary>
            <m:naryPr>
              <m:chr m:val="∑"/>
              <m:limLoc m:val="undOvr"/>
              <m:subHide m:val="0"/>
              <m:supHide m:val="0"/>
            </m:naryPr>
            <m:sub>
              <m:r>
                <m:t>j</m:t>
              </m:r>
              <m:r>
                <m:t>=</m:t>
              </m:r>
              <m:r>
                <m:t>1</m:t>
              </m:r>
            </m:sub>
            <m:sup>
              <m:r>
                <m:t>k</m:t>
              </m:r>
            </m:sup>
            <m:e>
              <m:sSub>
                <m:e>
                  <m:r>
                    <m:t>f</m:t>
                  </m:r>
                </m:e>
                <m:sub>
                  <m:r>
                    <m:t>j</m:t>
                  </m:r>
                </m:sub>
              </m:sSub>
            </m:e>
          </m:nary>
          <m:r>
            <m:t>×</m:t>
          </m:r>
          <m:sSub>
            <m:e>
              <m:r>
                <m:t>x</m:t>
              </m:r>
            </m:e>
            <m:sub>
              <m:r>
                <m:t>j</m:t>
              </m:r>
            </m:sub>
          </m:sSub>
        </m:oMath>
      </m:oMathPara>
    </w:p>
    <w:p>
      <w:pPr>
        <w:pStyle w:val="FirstParagraph"/>
      </w:pPr>
      <w:r>
        <w:t xml:space="preserve">Appliquées à l’ancienneté fournie dans la table Table 4.1, on obtient ceci:</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Y</m:t>
              </m:r>
            </m:e>
          </m:bar>
          <m:r>
            <m:t>=</m:t>
          </m:r>
          <m:f>
            <m:fPr>
              <m:type m:val="bar"/>
            </m:fPr>
            <m:num>
              <m:r>
                <m:t>4</m:t>
              </m:r>
              <m:r>
                <m:t>x</m:t>
              </m:r>
              <m:r>
                <m:t>1</m:t>
              </m:r>
              <m:r>
                <m:t>+</m:t>
              </m:r>
              <m:r>
                <m:t>1</m:t>
              </m:r>
              <m:r>
                <m:t>x</m:t>
              </m:r>
              <m:r>
                <m:t>2</m:t>
              </m:r>
              <m:r>
                <m:t>+</m:t>
              </m:r>
              <m:r>
                <m:t>0</m:t>
              </m:r>
              <m:r>
                <m:t>x</m:t>
              </m:r>
              <m:r>
                <m:t>3</m:t>
              </m:r>
              <m:r>
                <m:t>+</m:t>
              </m:r>
              <m:r>
                <m:t>0</m:t>
              </m:r>
              <m:r>
                <m:t>x</m:t>
              </m:r>
              <m:r>
                <m:t>4</m:t>
              </m:r>
              <m:r>
                <m:t>+</m:t>
              </m:r>
              <m:r>
                <m:t>1</m:t>
              </m:r>
              <m:r>
                <m:t>x</m:t>
              </m:r>
              <m:r>
                <m:t>5</m:t>
              </m:r>
              <m:r>
                <m:t>+</m:t>
              </m:r>
              <m:r>
                <m:t>0</m:t>
              </m:r>
              <m:r>
                <m:t>x</m:t>
              </m:r>
              <m:r>
                <m:t>6</m:t>
              </m:r>
              <m:r>
                <m:t>+</m:t>
              </m:r>
              <m:r>
                <m:t>1</m:t>
              </m:r>
              <m:r>
                <m:t>x</m:t>
              </m:r>
              <m:r>
                <m:t>7</m:t>
              </m:r>
              <m:r>
                <m:t>+</m:t>
              </m:r>
              <m:r>
                <m:t>5</m:t>
              </m:r>
              <m:r>
                <m:t>x</m:t>
              </m:r>
              <m:r>
                <m:t>8</m:t>
              </m:r>
              <m:r>
                <m:t>+</m:t>
              </m:r>
              <m:r>
                <m:t>2</m:t>
              </m:r>
              <m:r>
                <m:t>x</m:t>
              </m:r>
              <m:r>
                <m:t>9</m:t>
              </m:r>
              <m:r>
                <m:t>+</m:t>
              </m:r>
              <m:r>
                <m:t>1</m:t>
              </m:r>
              <m:r>
                <m:t>x</m:t>
              </m:r>
              <m:r>
                <m:t>10</m:t>
              </m:r>
            </m:num>
            <m:den>
              <m:r>
                <m:t>15</m:t>
              </m:r>
            </m:den>
          </m:f>
        </m:oMath>
      </m:oMathPara>
    </w:p>
    <w:p>
      <w:pPr>
        <w:pStyle w:val="FirstParagraph"/>
      </w:pPr>
      <w:r>
        <w:br w:type="textWrapping"/>
      </w:r>
    </w:p>
    <w:p>
      <w:pPr>
        <w:pStyle w:val="Corpsdetexte"/>
      </w:pPr>
      <m:oMathPara>
        <m:oMathParaPr>
          <m:jc m:val="center"/>
        </m:oMathParaPr>
        <m:oMath>
          <m:r>
            <m:t>=</m:t>
          </m:r>
          <m:f>
            <m:fPr>
              <m:type m:val="bar"/>
            </m:fPr>
            <m:num>
              <m:r>
                <m:t>4</m:t>
              </m:r>
              <m:r>
                <m:t>+</m:t>
              </m:r>
              <m:r>
                <m:t>2</m:t>
              </m:r>
              <m:r>
                <m:t>+</m:t>
              </m:r>
              <m:r>
                <m:t>0</m:t>
              </m:r>
              <m:r>
                <m:t>+</m:t>
              </m:r>
              <m:r>
                <m:t>0</m:t>
              </m:r>
              <m:r>
                <m:t>+</m:t>
              </m:r>
              <m:r>
                <m:t>5</m:t>
              </m:r>
              <m:r>
                <m:t>+</m:t>
              </m:r>
              <m:r>
                <m:t>0</m:t>
              </m:r>
              <m:r>
                <m:t>+</m:t>
              </m:r>
              <m:r>
                <m:t>7</m:t>
              </m:r>
              <m:r>
                <m:t>+</m:t>
              </m:r>
              <m:r>
                <m:t>40</m:t>
              </m:r>
              <m:r>
                <m:t>+</m:t>
              </m:r>
              <m:r>
                <m:t>18</m:t>
              </m:r>
              <m:r>
                <m:t>+</m:t>
              </m:r>
              <m:r>
                <m:t>10</m:t>
              </m:r>
            </m:num>
            <m:den>
              <m:r>
                <m:t>15</m:t>
              </m:r>
            </m:den>
          </m:f>
          <m:r>
            <m:t>=</m:t>
          </m:r>
          <m:f>
            <m:fPr>
              <m:type m:val="bar"/>
            </m:fPr>
            <m:num>
              <m:r>
                <m:t>86</m:t>
              </m:r>
            </m:num>
            <m:den>
              <m:r>
                <m:t>15</m:t>
              </m:r>
            </m:den>
          </m:f>
          <m:r>
            <m:t>=</m:t>
          </m:r>
          <m:r>
            <m:t>5.73</m:t>
          </m:r>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Y</m:t>
              </m:r>
            </m:e>
          </m:bar>
          <m:r>
            <m:t>=</m:t>
          </m:r>
          <m:r>
            <m:t>0.27</m:t>
          </m:r>
          <m:r>
            <m:t>x</m:t>
          </m:r>
          <m:r>
            <m:t>1</m:t>
          </m:r>
          <m:r>
            <m:t>+</m:t>
          </m:r>
          <m:r>
            <m:t>0.07</m:t>
          </m:r>
          <m:r>
            <m:t>x</m:t>
          </m:r>
          <m:r>
            <m:t>2</m:t>
          </m:r>
          <m:r>
            <m:t>+</m:t>
          </m:r>
          <m:r>
            <m:t>0</m:t>
          </m:r>
          <m:r>
            <m:t>x</m:t>
          </m:r>
          <m:r>
            <m:t>3</m:t>
          </m:r>
          <m:r>
            <m:t>+</m:t>
          </m:r>
          <m:r>
            <m:t>0</m:t>
          </m:r>
          <m:r>
            <m:t>x</m:t>
          </m:r>
          <m:r>
            <m:t>4</m:t>
          </m:r>
          <m:r>
            <m:t>+</m:t>
          </m:r>
          <m:r>
            <m:t>0.07</m:t>
          </m:r>
          <m:r>
            <m:t>x</m:t>
          </m:r>
          <m:r>
            <m:t>5</m:t>
          </m:r>
          <m:r>
            <m:t>+</m:t>
          </m:r>
          <m:r>
            <m:t>0</m:t>
          </m:r>
          <m:r>
            <m:t>x</m:t>
          </m:r>
          <m:r>
            <m:t>6</m:t>
          </m:r>
          <m:r>
            <m:t>+</m:t>
          </m:r>
          <m:r>
            <m:t>0.07</m:t>
          </m:r>
          <m:r>
            <m:t>x</m:t>
          </m:r>
          <m:r>
            <m:t>7</m:t>
          </m:r>
          <m:r>
            <m:t>+</m:t>
          </m:r>
          <m:r>
            <m:t>0.33</m:t>
          </m:r>
          <m:r>
            <m:t>x</m:t>
          </m:r>
          <m:r>
            <m:t>8</m:t>
          </m:r>
          <m:r>
            <m:t>+</m:t>
          </m:r>
          <m:r>
            <m:t>0.13</m:t>
          </m:r>
          <m:r>
            <m:t>x</m:t>
          </m:r>
          <m:r>
            <m:t>9</m:t>
          </m:r>
          <m:r>
            <m:t>+</m:t>
          </m:r>
          <m:r>
            <m:t>0.07</m:t>
          </m:r>
          <m:r>
            <m:t>x</m:t>
          </m:r>
          <m:r>
            <m:t>10</m:t>
          </m:r>
          <m:r>
            <m:t>=</m:t>
          </m:r>
          <m:r>
            <m:t>5.73</m:t>
          </m:r>
        </m:oMath>
      </m:oMathPara>
    </w:p>
    <w:p>
      <w:pPr>
        <w:pStyle w:val="FirstParagraph"/>
      </w:pPr>
      <w:r>
        <w:t xml:space="preserve">Bien entendu, les trois formules donnent une valeur identique de la moyenne, et heureusement!Il s’agit de trois manières différentes de calculer la même chose.</w:t>
      </w:r>
    </w:p>
    <w:p>
      <w:pPr>
        <w:pStyle w:val="Corpsdetexte"/>
      </w:pPr>
      <w:r>
        <w:t xml:space="preserve">La moyenne présente plusieurs inconvénients.</w:t>
      </w:r>
    </w:p>
    <w:p>
      <w:pPr>
        <w:pStyle w:val="Corpsdetexte"/>
      </w:pPr>
      <w:r>
        <w:t xml:space="preserve">Premièrement, elle est très sensible aux valeurs aberrantes. Rappelez-vous que lorsque nous avons envisagé le mode, ce dernier était parfaitement insensible à un</w:t>
      </w:r>
      <w:r>
        <w:t xml:space="preserve"> </w:t>
      </w:r>
      <m:oMath>
        <m:sSub>
          <m:e>
            <m:r>
              <m:t>Y</m:t>
            </m:r>
          </m:e>
          <m:sub>
            <m:r>
              <m:t>14</m:t>
            </m:r>
          </m:sub>
        </m:sSub>
      </m:oMath>
      <w:r>
        <w:t xml:space="preserve">=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 C’est donc un désavantage sérieux qui nous oblige à être attentifs aux valeurs aberrantes.</w:t>
      </w:r>
    </w:p>
    <w:p>
      <w:pPr>
        <w:pStyle w:val="Corpsdetexte"/>
      </w:pPr>
      <w:r>
        <w:t xml:space="preserve">Deuxièmement, si l’on travaille avec des distributions asymétriques ou multimodales, la moyenne ne les représentera pas correctement.Imaginons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pPr>
        <w:pStyle w:val="Corpsdetexte"/>
      </w:pPr>
      <w:r>
        <w:t xml:space="preserve">Nous voyons bien à quel point il est important d’étudier la forme d’une distribution avant de déterminer des valeurs algébriques.</w:t>
      </w:r>
    </w:p>
    <w:p>
      <w:pPr>
        <w:pStyle w:val="Titre2"/>
      </w:pPr>
      <w:bookmarkStart w:id="85" w:name="mesures-de-dispersion"/>
      <w:bookmarkEnd w:id="85"/>
      <w:r>
        <w:t xml:space="preserve">Mesures de dispersion</w:t>
      </w:r>
    </w:p>
    <w:p>
      <w:pPr>
        <w:pStyle w:val="FirstParagraph"/>
      </w:pPr>
      <w:r>
        <w:t xml:space="preserve">Une mesure de dispersion sert à quantifier à quel points les données ont tendance à s’étaler, se disperser autour de la tendance centrale. Ces mesures sont importantes car la mesure de tendance centrale résumera d’autant mieux les données que la dispersion des données autour de celle-ci sera faible.</w:t>
      </w:r>
    </w:p>
    <w:p>
      <w:pPr>
        <w:pStyle w:val="Corpsdetexte"/>
      </w:pPr>
      <w:r>
        <w:t xml:space="preserve">Pour l’illustrer, considérons les deux séries suivantes qui représentent (fictivement) les notes (sur 10) obtenues par 10 étudiants en mathématiques et en français.</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5.0</w:t>
            </w:r>
          </w:p>
        </w:tc>
        <w:tc>
          <w:p>
            <w:pPr>
              <w:pStyle w:val="Compact"/>
              <w:jc w:val="center"/>
            </w:pPr>
            <w:r>
              <w:t xml:space="preserve">6.0</w:t>
            </w:r>
          </w:p>
        </w:tc>
      </w:tr>
      <w:tr>
        <w:tc>
          <w:p>
            <w:pPr>
              <w:pStyle w:val="Compact"/>
              <w:jc w:val="center"/>
            </w:pPr>
            <w:r>
              <w:t xml:space="preserve">2</w:t>
            </w:r>
          </w:p>
        </w:tc>
        <w:tc>
          <w:p>
            <w:pPr>
              <w:pStyle w:val="Compact"/>
              <w:jc w:val="center"/>
            </w:pPr>
            <w:r>
              <w:t xml:space="preserve">6.5</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7.0</w:t>
            </w:r>
          </w:p>
        </w:tc>
      </w:tr>
      <w:tr>
        <w:tc>
          <w:p>
            <w:pPr>
              <w:pStyle w:val="Compact"/>
              <w:jc w:val="center"/>
            </w:pPr>
            <w:r>
              <w:t xml:space="preserve">4</w:t>
            </w:r>
          </w:p>
        </w:tc>
        <w:tc>
          <w:p>
            <w:pPr>
              <w:pStyle w:val="Compact"/>
              <w:jc w:val="center"/>
            </w:pPr>
            <w:r>
              <w:t xml:space="preserve">8.5</w:t>
            </w:r>
          </w:p>
        </w:tc>
        <w:tc>
          <w:p>
            <w:pPr>
              <w:pStyle w:val="Compact"/>
              <w:jc w:val="center"/>
            </w:pPr>
            <w:r>
              <w:t xml:space="preserve">5.5</w:t>
            </w:r>
          </w:p>
        </w:tc>
      </w:tr>
      <w:tr>
        <w:tc>
          <w:p>
            <w:pPr>
              <w:pStyle w:val="Compact"/>
              <w:jc w:val="center"/>
            </w:pPr>
            <w:r>
              <w:t xml:space="preserve">5</w:t>
            </w:r>
          </w:p>
        </w:tc>
        <w:tc>
          <w:p>
            <w:pPr>
              <w:pStyle w:val="Compact"/>
              <w:jc w:val="center"/>
            </w:pPr>
            <w:r>
              <w:t xml:space="preserve">6.0</w:t>
            </w:r>
          </w:p>
        </w:tc>
        <w:tc>
          <w:p>
            <w:pPr>
              <w:pStyle w:val="Compact"/>
              <w:jc w:val="center"/>
            </w:pPr>
            <w:r>
              <w:t xml:space="preserve">5.5</w:t>
            </w:r>
          </w:p>
        </w:tc>
      </w:tr>
      <w:tr>
        <w:tc>
          <w:p>
            <w:pPr>
              <w:pStyle w:val="Compact"/>
              <w:jc w:val="center"/>
            </w:pPr>
            <w:r>
              <w:t xml:space="preserve">6</w:t>
            </w:r>
          </w:p>
        </w:tc>
        <w:tc>
          <w:p>
            <w:pPr>
              <w:pStyle w:val="Compact"/>
              <w:jc w:val="center"/>
            </w:pPr>
            <w:r>
              <w:t xml:space="preserve">7.5</w:t>
            </w:r>
          </w:p>
        </w:tc>
        <w:tc>
          <w:p>
            <w:pPr>
              <w:pStyle w:val="Compact"/>
              <w:jc w:val="center"/>
            </w:pPr>
            <w:r>
              <w:t xml:space="preserve">5.5</w:t>
            </w:r>
          </w:p>
        </w:tc>
      </w:tr>
      <w:tr>
        <w:tc>
          <w:p>
            <w:pPr>
              <w:pStyle w:val="Compact"/>
              <w:jc w:val="center"/>
            </w:pPr>
            <w:r>
              <w:t xml:space="preserve">7</w:t>
            </w:r>
          </w:p>
        </w:tc>
        <w:tc>
          <w:p>
            <w:pPr>
              <w:pStyle w:val="Compact"/>
              <w:jc w:val="center"/>
            </w:pPr>
            <w:r>
              <w:t xml:space="preserve">3.5</w:t>
            </w:r>
          </w:p>
        </w:tc>
        <w:tc>
          <w:p>
            <w:pPr>
              <w:pStyle w:val="Compact"/>
              <w:jc w:val="center"/>
            </w:pPr>
            <w:r>
              <w:t xml:space="preserve">5.5</w:t>
            </w:r>
          </w:p>
        </w:tc>
      </w:tr>
      <w:tr>
        <w:tc>
          <w:p>
            <w:pPr>
              <w:pStyle w:val="Compact"/>
              <w:jc w:val="center"/>
            </w:pPr>
            <w:r>
              <w:t xml:space="preserve">8</w:t>
            </w:r>
          </w:p>
        </w:tc>
        <w:tc>
          <w:p>
            <w:pPr>
              <w:pStyle w:val="Compact"/>
              <w:jc w:val="center"/>
            </w:pPr>
            <w:r>
              <w:t xml:space="preserve">7.0</w:t>
            </w:r>
          </w:p>
        </w:tc>
        <w:tc>
          <w:p>
            <w:pPr>
              <w:pStyle w:val="Compact"/>
              <w:jc w:val="center"/>
            </w:pPr>
            <w:r>
              <w:t xml:space="preserve">6.5</w:t>
            </w:r>
          </w:p>
        </w:tc>
      </w:tr>
      <w:tr>
        <w:tc>
          <w:p>
            <w:pPr>
              <w:pStyle w:val="Compact"/>
              <w:jc w:val="center"/>
            </w:pPr>
            <w:r>
              <w:t xml:space="preserve">9</w:t>
            </w:r>
          </w:p>
        </w:tc>
        <w:tc>
          <w:p>
            <w:pPr>
              <w:pStyle w:val="Compact"/>
              <w:jc w:val="center"/>
            </w:pPr>
            <w:r>
              <w:t xml:space="preserve">4.0</w:t>
            </w:r>
          </w:p>
        </w:tc>
        <w:tc>
          <w:p>
            <w:pPr>
              <w:pStyle w:val="Compact"/>
              <w:jc w:val="center"/>
            </w:pPr>
            <w:r>
              <w:t xml:space="preserve">6.0</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Je vous laisse le soin de calculer la moyenne de ces deux séries et de constater que dans les deux cours, elle vaut exactement 6. Par contre, la dispersion des données autour de cette tendance centrale n’est pas la même pour les deux cours.</w:t>
      </w:r>
    </w:p>
    <w:p>
      <w:pPr>
        <w:pStyle w:val="Corpsdetexte"/>
      </w:pPr>
      <w:r>
        <w:t xml:space="preserve">Dans la Figure 4.1, les notes de chaque cours sont représentées. La ligne horizontale représente la moyenne. Les points au dessus de la ligne horizontale sont les notes supérieures à la moyenne et les points en dessous de cette ligne sont les notes inférieures à la moyenne. On observe graphiquement que les notes s’éloignent plus de la moyenne pour le cours de mathématiques que pour le cours de français. Cela se confirme algébriquement: en français, les notes s’éloignent au maximum de 1points de la moyenne alors qu’en mathématiques, les notes peuvent s’éloigner jusqu’à 2.5points de la moyenne. Autrement dit, la dispersion des notes est plus forte pour le cours de mathématiques que pour le cours de français.</w:t>
      </w:r>
    </w:p>
    <w:p>
      <w:pPr>
        <w:pStyle w:val="Corpsdetexte"/>
      </w:pPr>
      <w:r>
        <w:t xml:space="preserve">Figure 4.1</w:t>
      </w:r>
      <w:r>
        <w:br w:type="textWrapping"/>
      </w:r>
      <w:r>
        <w:rPr>
          <w:i/>
        </w:rPr>
        <w:t xml:space="preserve">Etalement des notes de la Table 4.3 autour de la moyenne (6)</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39-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Quantifier la dispersion des données peut se faire de plusieurs manières plus ou moins sophistiquées. Nous en ciblerons quatre:</w:t>
      </w:r>
      <w:r>
        <w:br w:type="textWrapping"/>
      </w:r>
      <w:r>
        <w:rPr>
          <w:i/>
        </w:rPr>
        <w:t xml:space="preserve">L’étendue</w:t>
      </w:r>
      <w:r>
        <w:rPr>
          <w:i/>
        </w:rPr>
        <w:t xml:space="preserve"> </w:t>
      </w:r>
      <w:r>
        <w:t xml:space="preserve">L’écart interquartile</w:t>
      </w:r>
      <w:r>
        <w:t xml:space="preserve"> </w:t>
      </w:r>
      <w:r>
        <w:rPr>
          <w:i/>
        </w:rPr>
        <w:t xml:space="preserve">L’écart moyen absolu</w:t>
      </w:r>
      <w:r>
        <w:rPr>
          <w:i/>
        </w:rPr>
        <w:t xml:space="preserve"> </w:t>
      </w:r>
      <w:r>
        <w:t xml:space="preserve">La variance et l’écart-type</w:t>
      </w:r>
    </w:p>
    <w:p>
      <w:pPr>
        <w:pStyle w:val="Titre3"/>
      </w:pPr>
      <w:bookmarkStart w:id="87" w:name="etendue"/>
      <w:bookmarkEnd w:id="87"/>
      <w:r>
        <w:t xml:space="preserve">Etendue</w:t>
      </w:r>
    </w:p>
    <w:p>
      <w:pPr>
        <w:pStyle w:val="FirstParagraph"/>
      </w:pPr>
      <w:r>
        <w:t xml:space="preserve">L’étendue est une mesure très élémentaire qui consiste à mesurer la différence entre la plus grande et la plus petite des valeurs observées.</w:t>
      </w:r>
    </w:p>
    <w:p>
      <w:pPr>
        <w:pStyle w:val="Corpsdetexte"/>
      </w:pPr>
      <m:oMathPara>
        <m:oMathParaPr>
          <m:jc m:val="center"/>
        </m:oMathParaPr>
        <m:oMath>
          <m:r>
            <m:t>e</m:t>
          </m:r>
          <m:r>
            <m:t>t</m:t>
          </m:r>
          <m:r>
            <m:t>e</m:t>
          </m:r>
          <m:r>
            <m:t>n</m:t>
          </m:r>
          <m:r>
            <m:t>d</m:t>
          </m:r>
          <m:r>
            <m:t>u</m:t>
          </m:r>
          <m:r>
            <m:t>e</m:t>
          </m:r>
          <m:r>
            <m:t>=</m:t>
          </m:r>
          <m:r>
            <m:t>m</m:t>
          </m:r>
          <m:r>
            <m:t>a</m:t>
          </m:r>
          <m:r>
            <m:t>x</m:t>
          </m:r>
          <m:r>
            <m:t>(</m:t>
          </m:r>
          <m:sSub>
            <m:e>
              <m:r>
                <m:t>X</m:t>
              </m:r>
            </m:e>
            <m:sub>
              <m:r>
                <m:t>i</m:t>
              </m:r>
            </m:sub>
          </m:sSub>
          <m:r>
            <m:t>)</m:t>
          </m:r>
          <m:r>
            <m:t>−</m:t>
          </m:r>
          <m:r>
            <m:t>m</m:t>
          </m:r>
          <m:r>
            <m:t>i</m:t>
          </m:r>
          <m:r>
            <m:t>n</m:t>
          </m:r>
          <m:r>
            <m:t>(</m:t>
          </m:r>
          <m:sSub>
            <m:e>
              <m:r>
                <m:t>X</m:t>
              </m:r>
            </m:e>
            <m:sub>
              <m:r>
                <m:t>i</m:t>
              </m:r>
            </m:sub>
          </m:sSub>
          <m:r>
            <m:t>)</m:t>
          </m:r>
        </m:oMath>
      </m:oMathPara>
    </w:p>
    <w:p>
      <w:pPr>
        <w:pStyle w:val="FirstParagraph"/>
      </w:pPr>
      <w:r>
        <w:t xml:space="preserve">Dans l’exemple des notes de cours de la Table 4.3, on trouve que l’étendue des notes en français vaut 1.5, et que celle des notes en mathématiques vaut 5.</w:t>
      </w:r>
    </w:p>
    <w:p>
      <w:pPr>
        <w:pStyle w:val="Corpsdetexte"/>
      </w:pPr>
      <w:r>
        <w:t xml:space="preserve">L’avantage de cette mesure est qu’elle est très simple à calculer. En contre-partie, elle présente des inconvénients importants. Premièrement, elle ne dépend que deux valeurs de la série (la plus grande et la plus petite) et ne prend pas du tout en compte toutes les autres valeurs. Deuxièmement, elle est très sensible aux valeurs extrêmes: il suffit qu’un seul sujet ait un score atypique pour que l’étendue augmente considérablement. Vous pouvez donc regarder cet indicateur lorsque vous abordez en un coup d’oeil la distribution de vos résultats, mais n’accordez aucun crédit à cet indicateur dès lors que vous entrez dans une analyse plus fine.</w:t>
      </w:r>
    </w:p>
    <w:p>
      <w:pPr>
        <w:pStyle w:val="Titre3"/>
      </w:pPr>
      <w:bookmarkStart w:id="88" w:name="ecart-interquartile"/>
      <w:bookmarkEnd w:id="88"/>
      <w:r>
        <w:t xml:space="preserve">Ecart interquartile</w:t>
      </w:r>
    </w:p>
    <w:p>
      <w:pPr>
        <w:pStyle w:val="FirstParagraph"/>
      </w:pPr>
      <w:r>
        <w:t xml:space="preserve">L’écart interquartile consiste à mesurer l’écart entre le troisième et le premier quartile (c’est la boite centrale de la boîte à moustaches décrite précédemment, soit les 50% des données centrales de la distribution).</w:t>
      </w:r>
    </w:p>
    <w:p>
      <w:pPr>
        <w:pStyle w:val="Corpsdetexte"/>
      </w:pPr>
      <m:oMathPara>
        <m:oMathParaPr>
          <m:jc m:val="center"/>
        </m:oMathParaPr>
        <m:oMath>
          <m:r>
            <m:t>E</m:t>
          </m:r>
          <m:r>
            <m:t>I</m:t>
          </m:r>
          <m:r>
            <m:t>Q</m:t>
          </m:r>
          <m:r>
            <m:t>=</m:t>
          </m:r>
          <m:sSub>
            <m:e>
              <m:r>
                <m:t>Q</m:t>
              </m:r>
            </m:e>
            <m:sub>
              <m:r>
                <m:t>3</m:t>
              </m:r>
            </m:sub>
          </m:sSub>
          <m:r>
            <m:t>−</m:t>
          </m:r>
          <m:sSub>
            <m:e>
              <m:r>
                <m:t>Q</m:t>
              </m:r>
            </m:e>
            <m:sub>
              <m:r>
                <m:t>1</m:t>
              </m:r>
            </m:sub>
          </m:sSub>
        </m:oMath>
      </m:oMathPara>
    </w:p>
    <w:p>
      <w:pPr>
        <w:pStyle w:val="FirstParagraph"/>
      </w:pPr>
      <w:r>
        <w:t xml:space="preserve">Dans l’exemple des notes de cours de la Table 4.3, on trouve que l’écart interquartile des notes en français vaut 1, et que celui des notes en mathématiques vaut 3.</w:t>
      </w:r>
    </w:p>
    <w:p>
      <w:pPr>
        <w:pStyle w:val="Corpsdetexte"/>
      </w:pPr>
      <w:r>
        <w:t xml:space="preserve">Contrairement à l’étendue des données, l’écart interquartile présente l’avantage de ne pas être sensible aux valeurs extrêmes.</w:t>
      </w:r>
    </w:p>
    <w:p>
      <w:pPr>
        <w:pStyle w:val="Titre3"/>
      </w:pPr>
      <w:bookmarkStart w:id="89" w:name="ecart-moyen-absolu-ema"/>
      <w:bookmarkEnd w:id="89"/>
      <w:r>
        <w:t xml:space="preserve">Ecart moyen absolu (EMA)</w:t>
      </w:r>
    </w:p>
    <w:p>
      <w:pPr>
        <w:pStyle w:val="FirstParagraph"/>
      </w:pPr>
      <w:r>
        <w:t xml:space="preserve">Un autre moyen de calculer la dispersion est de mesurer les écarts par rapport à la moyenne (E), tel que fait à la deuxième colonne de la Table 4.4 et de la Table 4.5.</w:t>
      </w:r>
    </w:p>
    <w:p>
      <w:pPr>
        <w:pStyle w:val="Corpsdetexte"/>
      </w:pPr>
      <m:oMathPara>
        <m:oMathParaPr>
          <m:jc m:val="center"/>
        </m:oMathParaPr>
        <m:oMath>
          <m:sSub>
            <m:e>
              <m:r>
                <m:t>E</m:t>
              </m:r>
            </m:e>
            <m:sub>
              <m:r>
                <m:t>i</m:t>
              </m:r>
            </m:sub>
          </m:sSub>
          <m:r>
            <m:t>=</m:t>
          </m:r>
          <m:sSub>
            <m:e>
              <m:r>
                <m:t>X</m:t>
              </m:r>
            </m:e>
            <m:sub>
              <m:r>
                <m:t>i</m:t>
              </m:r>
            </m:sub>
          </m:sSub>
          <m:r>
            <m:t>−</m:t>
          </m:r>
          <m:bar>
            <m:barPr>
              <m:pos m:val="top"/>
            </m:barPr>
            <m:e>
              <m:sSub>
                <m:e>
                  <m:r>
                    <m:t>X</m:t>
                  </m:r>
                </m:e>
                <m:sub>
                  <m:r>
                    <m:t>i</m:t>
                  </m:r>
                </m:sub>
              </m:sSub>
            </m:e>
          </m:bar>
        </m:oMath>
      </m:oMathPara>
    </w:p>
    <w:p>
      <w:pPr>
        <w:pStyle w:val="FirstParagraph"/>
      </w:pPr>
      <w:r>
        <w:t xml:space="preserve">Table 4.4</w:t>
      </w:r>
      <w:r>
        <w:br w:type="textWrapping"/>
      </w:r>
      <w:r>
        <w:rPr>
          <w:i/>
        </w:rPr>
        <w:t xml:space="preserve">Notes en % obtenues par 10 des étudiants en mathématiques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m</m:t>
              </m:r>
              <m:r>
                <m:t>a</m:t>
              </m:r>
              <m:r>
                <m:t>t</m:t>
              </m:r>
              <m:r>
                <m:t>h</m:t>
              </m:r>
              <m:r>
                <m:t>(</m:t>
              </m:r>
              <m:sSub>
                <m:e>
                  <m:r>
                    <m:t>X</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5.0</w:t>
            </w:r>
          </w:p>
        </w:tc>
        <w:tc>
          <w:p>
            <w:pPr>
              <w:pStyle w:val="Compact"/>
              <w:jc w:val="center"/>
            </w:pPr>
            <w:r>
              <w:t xml:space="preserve">-1.0</w:t>
            </w:r>
          </w:p>
        </w:tc>
      </w:tr>
      <w:tr>
        <w:tc>
          <w:p>
            <w:pPr>
              <w:pStyle w:val="Compact"/>
              <w:jc w:val="center"/>
            </w:pPr>
            <w:r>
              <w:t xml:space="preserve">2</w:t>
            </w:r>
          </w:p>
        </w:tc>
        <w:tc>
          <w:p>
            <w:pPr>
              <w:pStyle w:val="Compact"/>
              <w:jc w:val="center"/>
            </w:pPr>
            <w:r>
              <w:t xml:space="preserve">6.5</w:t>
            </w:r>
          </w:p>
        </w:tc>
        <w:tc>
          <w:p>
            <w:pPr>
              <w:pStyle w:val="Compact"/>
              <w:jc w:val="center"/>
            </w:pPr>
            <w:r>
              <w:t xml:space="preserve">0.5</w:t>
            </w:r>
          </w:p>
        </w:tc>
      </w:tr>
      <w:tr>
        <w:tc>
          <w:p>
            <w:pPr>
              <w:pStyle w:val="Compact"/>
              <w:jc w:val="center"/>
            </w:pPr>
            <w:r>
              <w:t xml:space="preserve">3</w:t>
            </w:r>
          </w:p>
        </w:tc>
        <w:tc>
          <w:p>
            <w:pPr>
              <w:pStyle w:val="Compact"/>
              <w:jc w:val="center"/>
            </w:pPr>
            <w:r>
              <w:t xml:space="preserve">4.5</w:t>
            </w:r>
          </w:p>
        </w:tc>
        <w:tc>
          <w:p>
            <w:pPr>
              <w:pStyle w:val="Compact"/>
              <w:jc w:val="center"/>
            </w:pPr>
            <w:r>
              <w:t xml:space="preserve">-1.5</w:t>
            </w:r>
          </w:p>
        </w:tc>
      </w:tr>
      <w:tr>
        <w:tc>
          <w:p>
            <w:pPr>
              <w:pStyle w:val="Compact"/>
              <w:jc w:val="center"/>
            </w:pPr>
            <w:r>
              <w:t xml:space="preserve">4</w:t>
            </w:r>
          </w:p>
        </w:tc>
        <w:tc>
          <w:p>
            <w:pPr>
              <w:pStyle w:val="Compact"/>
              <w:jc w:val="center"/>
            </w:pPr>
            <w:r>
              <w:t xml:space="preserve">8.5</w:t>
            </w:r>
          </w:p>
        </w:tc>
        <w:tc>
          <w:p>
            <w:pPr>
              <w:pStyle w:val="Compact"/>
              <w:jc w:val="center"/>
            </w:pPr>
            <w:r>
              <w:t xml:space="preserve">2.5</w:t>
            </w:r>
          </w:p>
        </w:tc>
      </w:tr>
      <w:tr>
        <w:tc>
          <w:p>
            <w:pPr>
              <w:pStyle w:val="Compact"/>
              <w:jc w:val="center"/>
            </w:pPr>
            <w:r>
              <w:t xml:space="preserve">5</w:t>
            </w:r>
          </w:p>
        </w:tc>
        <w:tc>
          <w:p>
            <w:pPr>
              <w:pStyle w:val="Compact"/>
              <w:jc w:val="center"/>
            </w:pPr>
            <w:r>
              <w:t xml:space="preserve">6.0</w:t>
            </w:r>
          </w:p>
        </w:tc>
        <w:tc>
          <w:p>
            <w:pPr>
              <w:pStyle w:val="Compact"/>
              <w:jc w:val="center"/>
            </w:pPr>
            <w:r>
              <w:t xml:space="preserve">0.0</w:t>
            </w:r>
          </w:p>
        </w:tc>
      </w:tr>
      <w:tr>
        <w:tc>
          <w:p>
            <w:pPr>
              <w:pStyle w:val="Compact"/>
              <w:jc w:val="center"/>
            </w:pPr>
            <w:r>
              <w:t xml:space="preserve">6</w:t>
            </w:r>
          </w:p>
        </w:tc>
        <w:tc>
          <w:p>
            <w:pPr>
              <w:pStyle w:val="Compact"/>
              <w:jc w:val="center"/>
            </w:pPr>
            <w:r>
              <w:t xml:space="preserve">7.5</w:t>
            </w:r>
          </w:p>
        </w:tc>
        <w:tc>
          <w:p>
            <w:pPr>
              <w:pStyle w:val="Compact"/>
              <w:jc w:val="center"/>
            </w:pPr>
            <w:r>
              <w:t xml:space="preserve">1.5</w:t>
            </w:r>
          </w:p>
        </w:tc>
      </w:tr>
      <w:tr>
        <w:tc>
          <w:p>
            <w:pPr>
              <w:pStyle w:val="Compact"/>
              <w:jc w:val="center"/>
            </w:pPr>
            <w:r>
              <w:t xml:space="preserve">7</w:t>
            </w:r>
          </w:p>
        </w:tc>
        <w:tc>
          <w:p>
            <w:pPr>
              <w:pStyle w:val="Compact"/>
              <w:jc w:val="center"/>
            </w:pPr>
            <w:r>
              <w:t xml:space="preserve">3.5</w:t>
            </w:r>
          </w:p>
        </w:tc>
        <w:tc>
          <w:p>
            <w:pPr>
              <w:pStyle w:val="Compact"/>
              <w:jc w:val="center"/>
            </w:pPr>
            <w:r>
              <w:t xml:space="preserve">-2.5</w:t>
            </w:r>
          </w:p>
        </w:tc>
      </w:tr>
      <w:tr>
        <w:tc>
          <w:p>
            <w:pPr>
              <w:pStyle w:val="Compact"/>
              <w:jc w:val="center"/>
            </w:pPr>
            <w:r>
              <w:t xml:space="preserve">8</w:t>
            </w:r>
          </w:p>
        </w:tc>
        <w:tc>
          <w:p>
            <w:pPr>
              <w:pStyle w:val="Compact"/>
              <w:jc w:val="center"/>
            </w:pPr>
            <w:r>
              <w:t xml:space="preserve">7.0</w:t>
            </w:r>
          </w:p>
        </w:tc>
        <w:tc>
          <w:p>
            <w:pPr>
              <w:pStyle w:val="Compact"/>
              <w:jc w:val="center"/>
            </w:pPr>
            <w:r>
              <w:t xml:space="preserve">1.0</w:t>
            </w:r>
          </w:p>
        </w:tc>
      </w:tr>
      <w:tr>
        <w:tc>
          <w:p>
            <w:pPr>
              <w:pStyle w:val="Compact"/>
              <w:jc w:val="center"/>
            </w:pPr>
            <w:r>
              <w:t xml:space="preserve">9</w:t>
            </w:r>
          </w:p>
        </w:tc>
        <w:tc>
          <w:p>
            <w:pPr>
              <w:pStyle w:val="Compact"/>
              <w:jc w:val="center"/>
            </w:pPr>
            <w:r>
              <w:t xml:space="preserve">4.0</w:t>
            </w:r>
          </w:p>
        </w:tc>
        <w:tc>
          <w:p>
            <w:pPr>
              <w:pStyle w:val="Compact"/>
              <w:jc w:val="center"/>
            </w:pPr>
            <w:r>
              <w:t xml:space="preserve">-2.0</w:t>
            </w:r>
          </w:p>
        </w:tc>
      </w:tr>
      <w:tr>
        <w:tc>
          <w:p>
            <w:pPr>
              <w:pStyle w:val="Compact"/>
              <w:jc w:val="center"/>
            </w:pPr>
            <w:r>
              <w:t xml:space="preserve">10</w:t>
            </w:r>
          </w:p>
        </w:tc>
        <w:tc>
          <w:p>
            <w:pPr>
              <w:pStyle w:val="Compact"/>
              <w:jc w:val="center"/>
            </w:pPr>
            <w:r>
              <w:t xml:space="preserve">7.5</w:t>
            </w:r>
          </w:p>
        </w:tc>
        <w:tc>
          <w:p>
            <w:pPr>
              <w:pStyle w:val="Compact"/>
              <w:jc w:val="center"/>
            </w:pPr>
            <w:r>
              <w:t xml:space="preserve">1.5</w:t>
            </w:r>
          </w:p>
        </w:tc>
      </w:tr>
    </w:tbl>
    <w:p>
      <w:pPr>
        <w:pStyle w:val="Corpsdetexte"/>
      </w:pPr>
      <w:r>
        <w:t xml:space="preserve">Table 4.5</w:t>
      </w:r>
      <w:r>
        <w:br w:type="textWrapping"/>
      </w:r>
      <w:r>
        <w:rPr>
          <w:i/>
        </w:rPr>
        <w:t xml:space="preserve">Notes en % obtenues par 10 des étudiants en francais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f</m:t>
              </m:r>
              <m:r>
                <m:t>r</m:t>
              </m:r>
              <m:r>
                <m:t>a</m:t>
              </m:r>
              <m:r>
                <m:t>n</m:t>
              </m:r>
              <m:r>
                <m:t>c</m:t>
              </m:r>
              <m:r>
                <m:t>a</m:t>
              </m:r>
              <m:r>
                <m:t>i</m:t>
              </m:r>
              <m:r>
                <m:t>s</m:t>
              </m:r>
              <m:r>
                <m:t>(</m:t>
              </m:r>
              <m:sSub>
                <m:e>
                  <m:r>
                    <m:t>Z</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6.0</w:t>
            </w:r>
          </w:p>
        </w:tc>
        <w:tc>
          <w:p>
            <w:pPr>
              <w:pStyle w:val="Compact"/>
              <w:jc w:val="center"/>
            </w:pPr>
            <w:r>
              <w:t xml:space="preserve">0.0</w:t>
            </w:r>
          </w:p>
        </w:tc>
      </w:tr>
      <w:tr>
        <w:tc>
          <w:p>
            <w:pPr>
              <w:pStyle w:val="Compact"/>
              <w:jc w:val="center"/>
            </w:pPr>
            <w:r>
              <w:t xml:space="preserve">2</w:t>
            </w:r>
          </w:p>
        </w:tc>
        <w:tc>
          <w:p>
            <w:pPr>
              <w:pStyle w:val="Compact"/>
              <w:jc w:val="center"/>
            </w:pPr>
            <w:r>
              <w:t xml:space="preserve">6.0</w:t>
            </w:r>
          </w:p>
        </w:tc>
        <w:tc>
          <w:p>
            <w:pPr>
              <w:pStyle w:val="Compact"/>
              <w:jc w:val="center"/>
            </w:pPr>
            <w:r>
              <w:t xml:space="preserve">0.0</w:t>
            </w:r>
          </w:p>
        </w:tc>
      </w:tr>
      <w:tr>
        <w:tc>
          <w:p>
            <w:pPr>
              <w:pStyle w:val="Compact"/>
              <w:jc w:val="center"/>
            </w:pPr>
            <w:r>
              <w:t xml:space="preserve">3</w:t>
            </w:r>
          </w:p>
        </w:tc>
        <w:tc>
          <w:p>
            <w:pPr>
              <w:pStyle w:val="Compact"/>
              <w:jc w:val="center"/>
            </w:pPr>
            <w:r>
              <w:t xml:space="preserve">7.0</w:t>
            </w:r>
          </w:p>
        </w:tc>
        <w:tc>
          <w:p>
            <w:pPr>
              <w:pStyle w:val="Compact"/>
              <w:jc w:val="center"/>
            </w:pPr>
            <w:r>
              <w:t xml:space="preserve">1.0</w:t>
            </w:r>
          </w:p>
        </w:tc>
      </w:tr>
      <w:tr>
        <w:tc>
          <w:p>
            <w:pPr>
              <w:pStyle w:val="Compact"/>
              <w:jc w:val="center"/>
            </w:pPr>
            <w:r>
              <w:t xml:space="preserve">4</w:t>
            </w:r>
          </w:p>
        </w:tc>
        <w:tc>
          <w:p>
            <w:pPr>
              <w:pStyle w:val="Compact"/>
              <w:jc w:val="center"/>
            </w:pPr>
            <w:r>
              <w:t xml:space="preserve">5.5</w:t>
            </w:r>
          </w:p>
        </w:tc>
        <w:tc>
          <w:p>
            <w:pPr>
              <w:pStyle w:val="Compact"/>
              <w:jc w:val="center"/>
            </w:pPr>
            <w:r>
              <w:t xml:space="preserve">-0.5</w:t>
            </w:r>
          </w:p>
        </w:tc>
      </w:tr>
      <w:tr>
        <w:tc>
          <w:p>
            <w:pPr>
              <w:pStyle w:val="Compact"/>
              <w:jc w:val="center"/>
            </w:pPr>
            <w:r>
              <w:t xml:space="preserve">5</w:t>
            </w:r>
          </w:p>
        </w:tc>
        <w:tc>
          <w:p>
            <w:pPr>
              <w:pStyle w:val="Compact"/>
              <w:jc w:val="center"/>
            </w:pPr>
            <w:r>
              <w:t xml:space="preserve">5.5</w:t>
            </w:r>
          </w:p>
        </w:tc>
        <w:tc>
          <w:p>
            <w:pPr>
              <w:pStyle w:val="Compact"/>
              <w:jc w:val="center"/>
            </w:pPr>
            <w:r>
              <w:t xml:space="preserve">-0.5</w:t>
            </w:r>
          </w:p>
        </w:tc>
      </w:tr>
      <w:tr>
        <w:tc>
          <w:p>
            <w:pPr>
              <w:pStyle w:val="Compact"/>
              <w:jc w:val="center"/>
            </w:pPr>
            <w:r>
              <w:t xml:space="preserve">6</w:t>
            </w:r>
          </w:p>
        </w:tc>
        <w:tc>
          <w:p>
            <w:pPr>
              <w:pStyle w:val="Compact"/>
              <w:jc w:val="center"/>
            </w:pPr>
            <w:r>
              <w:t xml:space="preserve">5.5</w:t>
            </w:r>
          </w:p>
        </w:tc>
        <w:tc>
          <w:p>
            <w:pPr>
              <w:pStyle w:val="Compact"/>
              <w:jc w:val="center"/>
            </w:pPr>
            <w:r>
              <w:t xml:space="preserve">-0.5</w:t>
            </w:r>
          </w:p>
        </w:tc>
      </w:tr>
      <w:tr>
        <w:tc>
          <w:p>
            <w:pPr>
              <w:pStyle w:val="Compact"/>
              <w:jc w:val="center"/>
            </w:pPr>
            <w:r>
              <w:t xml:space="preserve">7</w:t>
            </w:r>
          </w:p>
        </w:tc>
        <w:tc>
          <w:p>
            <w:pPr>
              <w:pStyle w:val="Compact"/>
              <w:jc w:val="center"/>
            </w:pPr>
            <w:r>
              <w:t xml:space="preserve">5.5</w:t>
            </w:r>
          </w:p>
        </w:tc>
        <w:tc>
          <w:p>
            <w:pPr>
              <w:pStyle w:val="Compact"/>
              <w:jc w:val="center"/>
            </w:pPr>
            <w:r>
              <w:t xml:space="preserve">-0.5</w:t>
            </w:r>
          </w:p>
        </w:tc>
      </w:tr>
      <w:tr>
        <w:tc>
          <w:p>
            <w:pPr>
              <w:pStyle w:val="Compact"/>
              <w:jc w:val="center"/>
            </w:pPr>
            <w:r>
              <w:t xml:space="preserve">8</w:t>
            </w:r>
          </w:p>
        </w:tc>
        <w:tc>
          <w:p>
            <w:pPr>
              <w:pStyle w:val="Compact"/>
              <w:jc w:val="center"/>
            </w:pPr>
            <w:r>
              <w:t xml:space="preserve">6.5</w:t>
            </w:r>
          </w:p>
        </w:tc>
        <w:tc>
          <w:p>
            <w:pPr>
              <w:pStyle w:val="Compact"/>
              <w:jc w:val="center"/>
            </w:pPr>
            <w:r>
              <w:t xml:space="preserve">0.5</w:t>
            </w:r>
          </w:p>
        </w:tc>
      </w:tr>
      <w:tr>
        <w:tc>
          <w:p>
            <w:pPr>
              <w:pStyle w:val="Compact"/>
              <w:jc w:val="center"/>
            </w:pPr>
            <w:r>
              <w:t xml:space="preserve">9</w:t>
            </w:r>
          </w:p>
        </w:tc>
        <w:tc>
          <w:p>
            <w:pPr>
              <w:pStyle w:val="Compact"/>
              <w:jc w:val="center"/>
            </w:pPr>
            <w:r>
              <w:t xml:space="preserve">6.0</w:t>
            </w:r>
          </w:p>
        </w:tc>
        <w:tc>
          <w:p>
            <w:pPr>
              <w:pStyle w:val="Compact"/>
              <w:jc w:val="center"/>
            </w:pPr>
            <w:r>
              <w:t xml:space="preserve">0.0</w:t>
            </w:r>
          </w:p>
        </w:tc>
      </w:tr>
      <w:tr>
        <w:tc>
          <w:p>
            <w:pPr>
              <w:pStyle w:val="Compact"/>
              <w:jc w:val="center"/>
            </w:pPr>
            <w:r>
              <w:t xml:space="preserve">10</w:t>
            </w:r>
          </w:p>
        </w:tc>
        <w:tc>
          <w:p>
            <w:pPr>
              <w:pStyle w:val="Compact"/>
              <w:jc w:val="center"/>
            </w:pPr>
            <w:r>
              <w:t xml:space="preserve">6.5</w:t>
            </w:r>
          </w:p>
        </w:tc>
        <w:tc>
          <w:p>
            <w:pPr>
              <w:pStyle w:val="Compact"/>
              <w:jc w:val="center"/>
            </w:pPr>
            <w:r>
              <w:t xml:space="preserve">0.5</w:t>
            </w:r>
          </w:p>
        </w:tc>
      </w:tr>
    </w:tbl>
    <w:p>
      <w:pPr>
        <w:pStyle w:val="Corpsdetexte"/>
      </w:pPr>
      <w:r>
        <w:t xml:space="preserve">Une information intéressante, en vue de déterminer la dispersion, serait de pouvoir estimer l’écart moyen des observations par rapport à la moyenne. Cependant, nous nous retrouvons confrontés à un problème: calculer la moyenne des écarts consisterait à additionner tous ces écarts, et à diviser la somme des écarts par le nombre de termes additionnés. Or, étant donné que certains écarts sont supérieurs à 0 et que d’autres sont inférieurs à 0, lorsque l’on tente d’additionner tous les écarts par rapport à la moyenne, on se retrouve invariablement avec un résultat nul:</w:t>
      </w:r>
    </w:p>
    <w:p>
      <w:pPr>
        <w:pStyle w:val="Corpsdetexte"/>
      </w:pPr>
      <w:r>
        <w:t xml:space="preserve">Pour le cours de math:</w:t>
      </w:r>
      <w:r>
        <w:t xml:space="preserve"> </w:t>
      </w:r>
      <m:oMath>
        <m:nary>
          <m:naryPr>
            <m:chr m:val="∑"/>
            <m:limLoc m:val="undOvr"/>
            <m:subHide m:val="0"/>
            <m:supHide m:val="0"/>
          </m:naryPr>
          <m:sub>
            <m:r>
              <m:t>i</m:t>
            </m:r>
            <m:r>
              <m:t>=</m:t>
            </m:r>
            <m:r>
              <m:t>1</m:t>
            </m:r>
          </m:sub>
          <m:sup>
            <m:r>
              <m:t>n</m:t>
            </m:r>
          </m:sup>
          <m:e>
            <m:sSub>
              <m:e>
                <m:r>
                  <m:t>E</m:t>
                </m:r>
              </m:e>
              <m:sub>
                <m:r>
                  <m:t>i</m:t>
                </m:r>
              </m:sub>
            </m:sSub>
          </m:e>
        </m:nary>
        <m:r>
          <m:t>=</m:t>
        </m:r>
        <m:r>
          <m:t>−</m:t>
        </m:r>
        <m:r>
          <m:t>1</m:t>
        </m:r>
        <m:r>
          <m:t>+</m:t>
        </m:r>
        <m:r>
          <m:t>0.5</m:t>
        </m:r>
        <m:r>
          <m:t>−</m:t>
        </m:r>
        <m:r>
          <m:t>1.5</m:t>
        </m:r>
        <m:r>
          <m:t>+</m:t>
        </m:r>
        <m:r>
          <m:t>2.5</m:t>
        </m:r>
        <m:r>
          <m:t>+</m:t>
        </m:r>
        <m:r>
          <m:t>0</m:t>
        </m:r>
        <m:r>
          <m:t>+</m:t>
        </m:r>
        <m:r>
          <m:t>1.5</m:t>
        </m:r>
        <m:r>
          <m:t>−</m:t>
        </m:r>
        <m:r>
          <m:t>2.5</m:t>
        </m:r>
        <m:r>
          <m:t>+</m:t>
        </m:r>
        <m:r>
          <m:t>1</m:t>
        </m:r>
        <m:r>
          <m:t>−</m:t>
        </m:r>
        <m:r>
          <m:t>2</m:t>
        </m:r>
        <m:r>
          <m:t>+</m:t>
        </m:r>
        <m:r>
          <m:t>1.5</m:t>
        </m:r>
        <m:r>
          <m:t>=</m:t>
        </m:r>
        <m:r>
          <m:t>0</m:t>
        </m:r>
      </m:oMath>
    </w:p>
    <w:p>
      <w:pPr>
        <w:pStyle w:val="Corpsdetexte"/>
      </w:pPr>
      <w:r>
        <w:t xml:space="preserve">Pour le cours de français:</w:t>
      </w:r>
      <w:r>
        <w:t xml:space="preserve"> </w:t>
      </w:r>
      <m:oMath>
        <m:nary>
          <m:naryPr>
            <m:chr m:val="∑"/>
            <m:limLoc m:val="undOvr"/>
            <m:subHide m:val="0"/>
            <m:supHide m:val="0"/>
          </m:naryPr>
          <m:sub>
            <m:r>
              <m:t>i</m:t>
            </m:r>
            <m:r>
              <m:t>=</m:t>
            </m:r>
            <m:r>
              <m:t>1</m:t>
            </m:r>
          </m:sub>
          <m:sup>
            <m:r>
              <m:t>n</m:t>
            </m:r>
          </m:sup>
          <m:e>
            <m:sSub>
              <m:e>
                <m:r>
                  <m:t>E</m:t>
                </m:r>
              </m:e>
              <m:sub>
                <m:r>
                  <m:t>i</m:t>
                </m:r>
              </m:sub>
            </m:sSub>
          </m:e>
        </m:nary>
        <m:r>
          <m:t>=</m:t>
        </m:r>
        <m:r>
          <m:t>0</m:t>
        </m:r>
        <m:r>
          <m:t>+</m:t>
        </m:r>
        <m:r>
          <m:t>0</m:t>
        </m:r>
        <m:r>
          <m:t>+</m:t>
        </m:r>
        <m:r>
          <m:t>1</m:t>
        </m:r>
        <m:r>
          <m:t>−</m:t>
        </m:r>
        <m:r>
          <m:t>0.5</m:t>
        </m:r>
        <m:r>
          <m:t>−</m:t>
        </m:r>
        <m:r>
          <m:t>0.5</m:t>
        </m:r>
        <m:r>
          <m:t>−</m:t>
        </m:r>
        <m:r>
          <m:t>0.5</m:t>
        </m:r>
        <m:r>
          <m:t>−</m:t>
        </m:r>
        <m:r>
          <m:t>0.5</m:t>
        </m:r>
        <m:r>
          <m:t>+</m:t>
        </m:r>
        <m:r>
          <m:t>0.5</m:t>
        </m:r>
        <m:r>
          <m:t>+</m:t>
        </m:r>
        <m:r>
          <m:t>0</m:t>
        </m:r>
        <m:r>
          <m:t>+</m:t>
        </m:r>
        <m:r>
          <m:t>0.5</m:t>
        </m:r>
        <m:r>
          <m:t>=</m:t>
        </m:r>
        <m:r>
          <m:t>0</m:t>
        </m:r>
      </m:oMath>
    </w:p>
    <w:p>
      <w:pPr>
        <w:pStyle w:val="Corpsdetexte"/>
      </w:pPr>
      <w:r>
        <w:t xml:space="preserve">Il existe deux moyens de contourner ce problème. Soit prendre la valeur absolue de chaque écart, soit élever toutes les erreurs au carré (et donc ne plus se soucier du signe, puisqu’un chiffre négatif élevé au carré devient positif).</w:t>
      </w:r>
    </w:p>
    <w:p>
      <w:pPr>
        <w:pStyle w:val="Corpsdetexte"/>
      </w:pPr>
      <w:r>
        <w:t xml:space="preserve">La première stratégie est celle choisie lorqu’on calcule l’EMA. l’EMA est une estimation de l’écart à la moyenne, en moyenne, par sujet. Il se calcule comme suit:</w:t>
      </w:r>
    </w:p>
    <w:p>
      <w:pPr>
        <w:pStyle w:val="Corpsdetexte"/>
      </w:pPr>
      <m:oMathPara>
        <m:oMathParaPr>
          <m:jc m:val="center"/>
        </m:oMathParaPr>
        <m:oMath>
          <m:r>
            <m:t>E</m:t>
          </m:r>
          <m:r>
            <m:t>M</m:t>
          </m:r>
          <m:r>
            <m:t>A</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1</m:t>
              </m:r>
              <m:r>
                <m:t>+</m:t>
              </m:r>
              <m:r>
                <m:t>0.5</m:t>
              </m:r>
              <m:r>
                <m:t>+</m:t>
              </m:r>
              <m:r>
                <m:t>1.5</m:t>
              </m:r>
              <m:r>
                <m:t>+</m:t>
              </m:r>
              <m:r>
                <m:t>2.5</m:t>
              </m:r>
              <m:r>
                <m:t>+</m:t>
              </m:r>
              <m:r>
                <m:t>0</m:t>
              </m:r>
              <m:r>
                <m:t>+</m:t>
              </m:r>
              <m:r>
                <m:t>1.5</m:t>
              </m:r>
              <m:r>
                <m:t>+</m:t>
              </m:r>
              <m:r>
                <m:t>2.5</m:t>
              </m:r>
              <m:r>
                <m:t>+</m:t>
              </m:r>
              <m:r>
                <m:t>1</m:t>
              </m:r>
              <m:r>
                <m:t>+</m:t>
              </m:r>
              <m:r>
                <m:t>2</m:t>
              </m:r>
              <m:r>
                <m:t>+</m:t>
              </m:r>
              <m:r>
                <m:t>1.5</m:t>
              </m:r>
            </m:num>
            <m:den>
              <m:r>
                <m:t>10</m:t>
              </m:r>
            </m:den>
          </m:f>
          <m:r>
            <m:t>=</m:t>
          </m:r>
          <m:r>
            <m:t>1.4</m:t>
          </m:r>
        </m:oMath>
      </m:oMathPara>
    </w:p>
    <w:p>
      <w:pPr>
        <w:pStyle w:val="FirstParagraph"/>
      </w:pPr>
      <w:r>
        <w:t xml:space="preserve">.</w:t>
      </w:r>
    </w:p>
    <w:p>
      <w:pPr>
        <w:pStyle w:val="Corpsdetexte"/>
      </w:pPr>
      <w:r>
        <w:t xml:space="preserve">Cela revient à dire que les notes s’écartent en moyenne de 1.4 points par rapport à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0</m:t>
              </m:r>
              <m:r>
                <m:t>+</m:t>
              </m:r>
              <m:r>
                <m:t>0</m:t>
              </m:r>
              <m:r>
                <m:t>+</m:t>
              </m:r>
              <m:r>
                <m:t>1</m:t>
              </m:r>
              <m:r>
                <m:t>+</m:t>
              </m:r>
              <m:r>
                <m:t>0.5</m:t>
              </m:r>
              <m:r>
                <m:t>+</m:t>
              </m:r>
              <m:r>
                <m:t>0.5</m:t>
              </m:r>
              <m:r>
                <m:t>+</m:t>
              </m:r>
              <m:r>
                <m:t>0.5</m:t>
              </m:r>
              <m:r>
                <m:t>+</m:t>
              </m:r>
              <m:r>
                <m:t>0.5</m:t>
              </m:r>
              <m:r>
                <m:t>+</m:t>
              </m:r>
              <m:r>
                <m:t>0.5</m:t>
              </m:r>
              <m:r>
                <m:t>+</m:t>
              </m:r>
              <m:r>
                <m:t>0</m:t>
              </m:r>
              <m:r>
                <m:t>+</m:t>
              </m:r>
              <m:r>
                <m:t>0.5</m:t>
              </m:r>
            </m:num>
            <m:den>
              <m:r>
                <m:t>10</m:t>
              </m:r>
            </m:den>
          </m:f>
          <m:r>
            <m:t>=</m:t>
          </m:r>
          <m:r>
            <m:t>0.4</m:t>
          </m:r>
        </m:oMath>
      </m:oMathPara>
    </w:p>
    <w:p>
      <w:pPr>
        <w:pStyle w:val="FirstParagraph"/>
      </w:pPr>
      <w:r>
        <w:t xml:space="preserve">.</w:t>
      </w:r>
    </w:p>
    <w:p>
      <w:pPr>
        <w:pStyle w:val="Corpsdetexte"/>
      </w:pPr>
      <w:r>
        <w:t xml:space="preserve">Cela revient à dire que les notes s’écartent en moyenne de 0.4 points par rapport à la moyenne de 6.</w:t>
      </w:r>
    </w:p>
    <w:p>
      <w:pPr>
        <w:pStyle w:val="Corpsdetexte"/>
      </w:pPr>
      <w:r>
        <w:t xml:space="preserve">Bien que cette mesure est une excellente façon de se représenter la dispersion, elle est totalement supplantée par l’écar-type. Cela provient du fait que l’écart-type est dérivé de la variance qui jouit de propriétés mathématiques qui lui font jouer un rôle central en statistique théorique.</w:t>
      </w:r>
    </w:p>
    <w:p>
      <w:pPr>
        <w:pStyle w:val="Titre3"/>
      </w:pPr>
      <w:bookmarkStart w:id="90" w:name="variance-et-ecart-type"/>
      <w:bookmarkEnd w:id="90"/>
      <w:r>
        <w:t xml:space="preserve">Variance et ecart-type</w:t>
      </w:r>
    </w:p>
    <w:p>
      <w:pPr>
        <w:pStyle w:val="FirstParagraph"/>
      </w:pPr>
      <w:r>
        <w:t xml:space="preserve">Nous avons envisagé de résoudre le problème de la somme nulle des erreurs (des écarts à la moyenne) en élevant chaque écart au carré. C’est la stratégie utilisée lorsque l’on calcule la variance des données. La variance consiste donc à calculer la valeur moyenne du carré des écarts entre les données observées et leur moyenne. Elle se calcule comme suit:</w:t>
      </w:r>
    </w:p>
    <w:p>
      <w:pPr>
        <w:pStyle w:val="Corpsdetexte"/>
      </w:pPr>
      <m:oMathPara>
        <m:oMathParaPr>
          <m:jc m:val="center"/>
        </m:oMathParaPr>
        <m:oMath>
          <m:r>
            <m:t>V</m:t>
          </m:r>
          <m:r>
            <m:t>a</m:t>
          </m:r>
          <m:r>
            <m:t>r</m:t>
          </m:r>
          <m:r>
            <m:t>i</m:t>
          </m:r>
          <m:r>
            <m:t>a</m:t>
          </m:r>
          <m:r>
            <m:t>n</m:t>
          </m:r>
          <m:r>
            <m:t>c</m:t>
          </m:r>
          <m:r>
            <m:t>e</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1</m:t>
              </m:r>
              <m:r>
                <m:t>+</m:t>
              </m:r>
              <m:r>
                <m:t>0.25</m:t>
              </m:r>
              <m:r>
                <m:t>+</m:t>
              </m:r>
              <m:r>
                <m:t>2.25</m:t>
              </m:r>
              <m:r>
                <m:t>+</m:t>
              </m:r>
              <m:r>
                <m:t>6.25</m:t>
              </m:r>
              <m:r>
                <m:t>+</m:t>
              </m:r>
              <m:r>
                <m:t>0</m:t>
              </m:r>
              <m:r>
                <m:t>+</m:t>
              </m:r>
              <m:r>
                <m:t>2.25</m:t>
              </m:r>
              <m:r>
                <m:t>+</m:t>
              </m:r>
              <m:r>
                <m:t>6.25</m:t>
              </m:r>
              <m:r>
                <m:t>+</m:t>
              </m:r>
              <m:r>
                <m:t>1</m:t>
              </m:r>
              <m:r>
                <m:t>+</m:t>
              </m:r>
              <m:r>
                <m:t>4</m:t>
              </m:r>
              <m:r>
                <m:t>+</m:t>
              </m:r>
              <m:r>
                <m:t>2.25</m:t>
              </m:r>
            </m:num>
            <m:den>
              <m:r>
                <m:t>10</m:t>
              </m:r>
            </m:den>
          </m:f>
          <m:r>
            <m:t>=</m:t>
          </m:r>
          <m:r>
            <m:t>2.55</m:t>
          </m:r>
        </m:oMath>
      </m:oMathPara>
    </w:p>
    <w:p>
      <w:pPr>
        <w:pStyle w:val="FirstParagraph"/>
      </w:pPr>
      <w:r>
        <w:t xml:space="preserve">.</w:t>
      </w:r>
    </w:p>
    <w:p>
      <w:pPr>
        <w:pStyle w:val="Corpsdetexte"/>
      </w:pPr>
      <w:r>
        <w:t xml:space="preserve">Il y a cependant un petit problème: la moyenne de la somme des carrés des écarts (SCE) est un chiffre dont l’unité est le carré de l’unité des données étudiées. Trouver une variance de 2.55 revient à dire que les notes s’écartent en moyenne de 2.55</w:t>
      </w:r>
      <w:r>
        <w:t xml:space="preserve"> </w:t>
      </w:r>
      <w:r>
        <w:t xml:space="preserve">“</w:t>
      </w:r>
      <w:r>
        <w:t xml:space="preserve">points au carré</w:t>
      </w:r>
      <w:r>
        <w:t xml:space="preserve">”</w:t>
      </w:r>
      <w:r>
        <w:t xml:space="preserve"> </w:t>
      </w:r>
      <w:r>
        <w:t xml:space="preserve">de la moyenne de 6. C’est donc très difficilement interprétable. Pour résoudre ce problème, on va ramener cet indicateur à la même unité que l’unité de la moyenne, c’est-à-dire les</w:t>
      </w:r>
      <w:r>
        <w:t xml:space="preserve"> </w:t>
      </w:r>
      <w:r>
        <w:t xml:space="preserve">“</w:t>
      </w:r>
      <w:r>
        <w:t xml:space="preserve">points</w:t>
      </w:r>
      <w:r>
        <w:t xml:space="preserve">”</w:t>
      </w:r>
      <w:r>
        <w:t xml:space="preserve">. Pour ce faire, il suffit d’extraire la racine carrée de la variance:</w:t>
      </w:r>
      <w:r>
        <w:t xml:space="preserve"> </w:t>
      </w:r>
      <m:oMath>
        <m:rad>
          <m:radPr>
            <m:degHide m:val="1"/>
          </m:radPr>
          <m:deg/>
          <m:e>
            <m:r>
              <m:t>2.55</m:t>
            </m:r>
          </m:e>
        </m:rad>
        <m:r>
          <m:t>=</m:t>
        </m:r>
        <m:r>
          <m:t>1.6</m:t>
        </m:r>
      </m:oMath>
      <w:r>
        <w:t xml:space="preserve">. Cette mesure constitue</w:t>
      </w:r>
      <w:r>
        <w:t xml:space="preserve"> </w:t>
      </w:r>
      <w:r>
        <w:rPr>
          <w:b/>
        </w:rPr>
        <w:t xml:space="preserve">l’écart-type</w:t>
      </w:r>
      <w:r>
        <w:t xml:space="preserve">. Nous pouvons maintenant dire que les sujets s’écartent en moyenne de 1.6 points autour de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0</m:t>
              </m:r>
              <m:r>
                <m:t>+</m:t>
              </m:r>
              <m:r>
                <m:t>0</m:t>
              </m:r>
              <m:r>
                <m:t>+</m:t>
              </m:r>
              <m:r>
                <m:t>1</m:t>
              </m:r>
              <m:r>
                <m:t>+</m:t>
              </m:r>
              <m:r>
                <m:t>0.25</m:t>
              </m:r>
              <m:r>
                <m:t>+</m:t>
              </m:r>
              <m:r>
                <m:t>0.25</m:t>
              </m:r>
              <m:r>
                <m:t>+</m:t>
              </m:r>
              <m:r>
                <m:t>0.25</m:t>
              </m:r>
              <m:r>
                <m:t>+</m:t>
              </m:r>
              <m:r>
                <m:t>0.25</m:t>
              </m:r>
              <m:r>
                <m:t>+</m:t>
              </m:r>
              <m:r>
                <m:t>0.25</m:t>
              </m:r>
              <m:r>
                <m:t>+</m:t>
              </m:r>
              <m:r>
                <m:t>0</m:t>
              </m:r>
              <m:r>
                <m:t>+</m:t>
              </m:r>
              <m:r>
                <m:t>0.25</m:t>
              </m:r>
            </m:num>
            <m:den>
              <m:r>
                <m:t>10</m:t>
              </m:r>
            </m:den>
          </m:f>
          <m:r>
            <m:t>=</m:t>
          </m:r>
          <m:r>
            <m:t>0.25</m:t>
          </m:r>
        </m:oMath>
      </m:oMathPara>
    </w:p>
    <w:p>
      <w:pPr>
        <w:pStyle w:val="FirstParagraph"/>
      </w:pPr>
      <w:r>
        <w:t xml:space="preserve">.</w:t>
      </w:r>
    </w:p>
    <w:p>
      <w:pPr>
        <w:pStyle w:val="Corpsdetexte"/>
      </w:pPr>
      <w:r>
        <w:t xml:space="preserve">L’écart-type, soit la racine carrée de la variance vaut</w:t>
      </w:r>
      <w:r>
        <w:t xml:space="preserve"> </w:t>
      </w:r>
      <m:oMath>
        <m:rad>
          <m:radPr>
            <m:degHide m:val="1"/>
          </m:radPr>
          <m:deg/>
          <m:e>
            <m:r>
              <m:t>0.25</m:t>
            </m:r>
          </m:e>
        </m:rad>
        <m:r>
          <m:t>=</m:t>
        </m:r>
        <m:r>
          <m:t>0.5</m:t>
        </m:r>
      </m:oMath>
      <w:r>
        <w:t xml:space="preserve">. Nous pouvons maintenant dire que les sujets s’écartent en moyenne de 0.5 points autour de la moyenne de 6.</w:t>
      </w:r>
    </w:p>
    <w:p>
      <w:pPr>
        <w:pStyle w:val="Corpsdetexte"/>
      </w:pPr>
      <w:r>
        <w:t xml:space="preserve">Remarquez que la mesure de l’écart-type est un petit peu différente de celle que nous obtenions en utilisant l’EMA (Pour le cours de math, écart-type = 1.6 vs. EMA = 1.4; pour le cours de français, écart-type = 0.5 vs. EMA = 0.4). L’écart-type est un petit peu plus conservateur, c’est-à-dire qu’il surestime un petit peu l’erreur par rapport à l’EMA.</w:t>
      </w:r>
    </w:p>
    <w:p>
      <w:pPr>
        <w:pStyle w:val="Corpsdetexte"/>
      </w:pPr>
      <w:r>
        <w:t xml:space="preserve">La variance et l’écart-type souffrent de la même limite que la moyenne: ils sont tous les deux sensibles aux valeurs abberrantes. Cette sensibilité est accentuée par le fait que l’on élève les écarts au carré!</w:t>
      </w:r>
    </w:p>
    <w:p>
      <w:pPr>
        <w:pStyle w:val="Titre2"/>
      </w:pPr>
      <w:bookmarkStart w:id="91" w:name="mesures-dasymetrie-et-daplatissement"/>
      <w:bookmarkEnd w:id="91"/>
      <w:r>
        <w:t xml:space="preserve">Mesures d’asymétrie et d’aplatissement</w:t>
      </w:r>
    </w:p>
    <w:p>
      <w:pPr>
        <w:pStyle w:val="FirstParagraph"/>
      </w:pPr>
      <w:r>
        <w:t xml:space="preserve">Les distributions statistiques peuvent avoir plusieurs formes. Nous avons déjà envisagé la différence entre les distributions unimodales et bimodales. Il est également possible de distinguer les formes des distributions sur base d’autres paramètres, tels que l’</w:t>
      </w:r>
      <w:r>
        <w:rPr>
          <w:b/>
        </w:rPr>
        <w:t xml:space="preserve">asymétrie</w:t>
      </w:r>
      <w:r>
        <w:t xml:space="preserve"> </w:t>
      </w:r>
      <w:r>
        <w:t xml:space="preserve">et l’</w:t>
      </w:r>
      <w:r>
        <w:rPr>
          <w:b/>
        </w:rPr>
        <w:t xml:space="preserve">aplatissement</w:t>
      </w:r>
      <w:r>
        <w:t xml:space="preserve">.</w:t>
      </w:r>
    </w:p>
    <w:p>
      <w:pPr>
        <w:pStyle w:val="Titre3"/>
      </w:pPr>
      <w:bookmarkStart w:id="92" w:name="mesure-dasymetrie"/>
      <w:bookmarkEnd w:id="92"/>
      <w:r>
        <w:t xml:space="preserve">Mesure d’asymétrie</w:t>
      </w:r>
    </w:p>
    <w:p>
      <w:pPr>
        <w:pStyle w:val="FirstParagraph"/>
      </w:pPr>
      <w:r>
        <w:t xml:space="preserve">Une distribution symétrique est telle que la moyenne et la médiane sont confondues. Sur la partie centrale de la Figure 4.2, on observe graphiquement que la première moitié de la distribution partie à gauche de la médiane) est la parfaite symétrie orthogonale de la deuxième moitié de la distribution (la partie à droite de la médiane).</w:t>
      </w:r>
    </w:p>
    <w:p>
      <w:pPr>
        <w:pStyle w:val="Corpsdetexte"/>
      </w:pPr>
      <w:r>
        <w:t xml:space="preserve">Figure 4.2</w:t>
      </w:r>
      <w:r>
        <w:br w:type="textWrapping"/>
      </w:r>
      <w:r>
        <w:rPr>
          <w:i/>
        </w:rPr>
        <w:t xml:space="preserve">Exemple de distributions à asymétrie négative (gauche) symétrique (milieu) et à asymétrie positive (droite)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4-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peut également présenter une asymétrie négative (si la queue de la distribution tend vers les valeurs négatives de l’axe x; extrêmité gauche de la Figure 4.2) ou une asymétrie positive (si la queue de la distribution tend vers les valeurs positives de l’axe x; extrêmité droite de la Figure 4.2).</w:t>
      </w:r>
    </w:p>
    <w:p>
      <w:pPr>
        <w:pStyle w:val="Corpsdetexte"/>
      </w:pPr>
      <w:r>
        <w:t xml:space="preserve">Bien qu’il existe plusieurs mesures d’asymétrie, la plus courante est celle proposée par Pearson, dont voici la formule:</w:t>
      </w:r>
    </w:p>
    <w:p>
      <w:pPr>
        <w:pStyle w:val="Corpsdetexte"/>
      </w:pPr>
      <m:oMathPara>
        <m:oMathParaPr>
          <m:jc m:val="center"/>
        </m:oMathParaPr>
        <m:oMath>
          <m:r>
            <m:t>G</m:t>
          </m:r>
          <m:r>
            <m:t>1</m:t>
          </m:r>
          <m:r>
            <m:t>=</m:t>
          </m:r>
          <m:f>
            <m:fPr>
              <m:type m:val="bar"/>
            </m:fPr>
            <m:num>
              <m:sSub>
                <m:e>
                  <m:r>
                    <m:t>M</m:t>
                  </m:r>
                </m:e>
                <m:sub>
                  <m:r>
                    <m:t>3</m:t>
                  </m:r>
                </m:sub>
              </m:sSub>
            </m:num>
            <m:den>
              <m:sSup>
                <m:e>
                  <m:r>
                    <m:t>S</m:t>
                  </m:r>
                </m:e>
                <m:sup>
                  <m:r>
                    <m:t>3</m:t>
                  </m:r>
                </m:sup>
              </m:sSup>
            </m:den>
          </m:f>
        </m:oMath>
      </m:oMathPara>
    </w:p>
    <w:p>
      <w:pPr>
        <w:pStyle w:val="FirstParagraph"/>
      </w:pPr>
      <m:oMathPara>
        <m:oMathParaPr>
          <m:jc m:val="center"/>
        </m:oMathParaPr>
        <m:oMath>
          <m:r>
            <m:t>a</m:t>
          </m:r>
          <m:r>
            <m:t>v</m:t>
          </m:r>
          <m:r>
            <m:t>e</m:t>
          </m:r>
          <m:r>
            <m:t>c</m:t>
          </m:r>
          <m:r>
            <m:t>,</m:t>
          </m:r>
          <m:sSub>
            <m:e>
              <m:r>
                <m:t>M</m:t>
              </m:r>
            </m:e>
            <m:sub>
              <m:r>
                <m:t>3</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3</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r>
                    <m:t>(</m:t>
                  </m:r>
                  <m:sSub>
                    <m:e>
                      <m:r>
                        <m:t>X</m:t>
                      </m:r>
                    </m:e>
                    <m:sub>
                      <m:r>
                        <m:t>i</m:t>
                      </m:r>
                    </m:sub>
                  </m:sSub>
                  <m:r>
                    <m:t>−</m:t>
                  </m:r>
                  <m:bar>
                    <m:barPr>
                      <m:pos m:val="top"/>
                    </m:barPr>
                    <m:e>
                      <m:r>
                        <m:t>X</m:t>
                      </m:r>
                    </m:e>
                  </m:bar>
                  <m:sSup>
                    <m:e>
                      <m:r>
                        <m:t>)</m:t>
                      </m:r>
                    </m:e>
                    <m:sup>
                      <m:r>
                        <m:t>2</m:t>
                      </m:r>
                    </m:sup>
                  </m:sSup>
                  <m:r>
                    <m:t>)</m:t>
                  </m:r>
                </m:num>
                <m:den>
                  <m:r>
                    <m:t>n</m:t>
                  </m:r>
                </m:den>
              </m:f>
            </m:e>
          </m:rad>
        </m:oMath>
      </m:oMathPara>
    </w:p>
    <w:p>
      <w:pPr>
        <w:pStyle w:val="FirstParagraph"/>
      </w:pPr>
      <w:r>
        <w:t xml:space="preserve">Il n’est pas important que vous puissiez calculer cela manuellement. Par contre, vous devez pouvoir interpréter sa valeur:</w:t>
      </w:r>
      <w:r>
        <w:br w:type="textWrapping"/>
      </w:r>
      <w:r>
        <w:rPr>
          <w:i/>
        </w:rPr>
        <w:t xml:space="preserve">Lorsque la distribution est parfaitement symétrique, le coefficient G1 vaut exactement 0.</w:t>
      </w:r>
      <w:r>
        <w:br w:type="textWrapping"/>
      </w:r>
      <w:r>
        <w:t xml:space="preserve">Lorsque la distribution présente une asymétrie positive, le coefficient G1 a une valeur supérieure à 0.</w:t>
      </w:r>
      <w:r>
        <w:br w:type="textWrapping"/>
      </w:r>
      <w:r>
        <w:t xml:space="preserve">*Lorsque la distribution présente une asymétrie négative, le coefficient G1 a une valeur inférieure à 0.</w:t>
      </w:r>
    </w:p>
    <w:p>
      <w:pPr>
        <w:pStyle w:val="Titre3"/>
      </w:pPr>
      <w:bookmarkStart w:id="94" w:name="mesure-daplatissement"/>
      <w:bookmarkEnd w:id="94"/>
      <w:r>
        <w:t xml:space="preserve">Mesure d’aplatissement</w:t>
      </w:r>
    </w:p>
    <w:p>
      <w:pPr>
        <w:pStyle w:val="FirstParagraph"/>
      </w:pPr>
      <w:r>
        <w:t xml:space="preserve">Pour correctement comprendre la mesure d’aplatissement, il faut savoir que la distribution de référence est la distribution normale (ou courbe en cloche, représentée sur la</w:t>
      </w:r>
      <w:r>
        <w:t xml:space="preserve"> </w:t>
      </w:r>
      <w:r>
        <w:rPr>
          <w:rStyle w:val="VerbatimChar"/>
        </w:rPr>
        <w:t xml:space="preserve">Figure 4.3</w:t>
      </w:r>
      <w:r>
        <w:t xml:space="preserve">)</w:t>
      </w:r>
    </w:p>
    <w:p>
      <w:pPr>
        <w:pStyle w:val="Corpsdetexte"/>
      </w:pPr>
      <w:r>
        <w:t xml:space="preserve">Figure 4.3</w:t>
      </w:r>
      <w:r>
        <w:br w:type="textWrapping"/>
      </w:r>
      <w:r>
        <w:rPr>
          <w:i/>
        </w:rPr>
        <w:t xml:space="preserve">Distribution normale (appelée aussi courbe en cloche)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5-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dont le kurtosis vaut 0 est une distribution qui n’est ni plus plate ni plus pointue que la fameuse courbe en cloche que l’on appelle</w:t>
      </w:r>
      <w:r>
        <w:t xml:space="preserve"> </w:t>
      </w:r>
      <w:r>
        <w:rPr>
          <w:b/>
        </w:rPr>
        <w:t xml:space="preserve">distribution normale</w:t>
      </w:r>
      <w:r>
        <w:t xml:space="preserve">. Une distribution dite</w:t>
      </w:r>
      <w:r>
        <w:t xml:space="preserve"> </w:t>
      </w:r>
      <w:r>
        <w:rPr>
          <w:b/>
        </w:rPr>
        <w:t xml:space="preserve">leptokurtique</w:t>
      </w:r>
      <w:r>
        <w:t xml:space="preserve"> </w:t>
      </w:r>
      <w:r>
        <w:t xml:space="preserve">est une distribution qui est plus pointue et avec des extrémités plus épaisses que la distribution normale. Enfin, une distribution dite</w:t>
      </w:r>
      <w:r>
        <w:t xml:space="preserve"> </w:t>
      </w:r>
      <w:r>
        <w:rPr>
          <w:b/>
        </w:rPr>
        <w:t xml:space="preserve">platikurtique</w:t>
      </w:r>
      <w:r>
        <w:t xml:space="preserve"> </w:t>
      </w:r>
      <w:r>
        <w:t xml:space="preserve">est une distribution aplatie, dont le centre et les extrémités sont moins fournies que ceux d’une distribution normale.</w:t>
      </w:r>
    </w:p>
    <w:p>
      <w:pPr>
        <w:pStyle w:val="Corpsdetexte"/>
      </w:pPr>
      <w:r>
        <w:t xml:space="preserve">Figure 4.4</w:t>
      </w:r>
      <w:r>
        <w:br w:type="textWrapping"/>
      </w:r>
      <w:r>
        <w:rPr>
          <w:i/>
        </w:rPr>
        <w:t xml:space="preserve">Exemple de distributions d’aplatissement normale, leptokurtique et platikurtiques</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6-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 nouveau, il existe plusieurs mesures de kurtosis. Voici celle proposée par Pearson:</w:t>
      </w:r>
    </w:p>
    <w:p>
      <w:pPr>
        <w:pStyle w:val="Corpsdetexte"/>
      </w:pPr>
      <m:oMathPara>
        <m:oMathParaPr>
          <m:jc m:val="center"/>
        </m:oMathParaPr>
        <m:oMath>
          <m:r>
            <m:t>G</m:t>
          </m:r>
          <m:r>
            <m:t>2</m:t>
          </m:r>
          <m:r>
            <m:t>=</m:t>
          </m:r>
          <m:f>
            <m:fPr>
              <m:type m:val="bar"/>
            </m:fPr>
            <m:num>
              <m:sSub>
                <m:e>
                  <m:r>
                    <m:t>M</m:t>
                  </m:r>
                </m:e>
                <m:sub>
                  <m:r>
                    <m:t>4</m:t>
                  </m:r>
                </m:sub>
              </m:sSub>
            </m:num>
            <m:den>
              <m:sSup>
                <m:e>
                  <m:r>
                    <m:t>S</m:t>
                  </m:r>
                </m:e>
                <m:sup>
                  <m:r>
                    <m:t>4</m:t>
                  </m:r>
                </m:sup>
              </m:sSup>
            </m:den>
          </m:f>
          <m:r>
            <m:t>−</m:t>
          </m:r>
          <m:r>
            <m:t>3</m:t>
          </m:r>
        </m:oMath>
      </m:oMathPara>
    </w:p>
    <w:p>
      <w:pPr>
        <w:pStyle w:val="FirstParagraph"/>
      </w:pPr>
      <m:oMathPara>
        <m:oMathParaPr>
          <m:jc m:val="center"/>
        </m:oMathParaPr>
        <m:oMath>
          <m:r>
            <m:t>a</m:t>
          </m:r>
          <m:r>
            <m:t>v</m:t>
          </m:r>
          <m:r>
            <m:t>e</m:t>
          </m:r>
          <m:r>
            <m:t>c</m:t>
          </m:r>
          <m:r>
            <m:t>,</m:t>
          </m:r>
          <m:sSub>
            <m:e>
              <m:r>
                <m:t>M</m:t>
              </m:r>
            </m:e>
            <m:sub>
              <m:r>
                <m:t>4</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4</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e>
          </m:rad>
        </m:oMath>
      </m:oMathPara>
    </w:p>
    <w:p>
      <w:pPr>
        <w:pStyle w:val="FirstParagraph"/>
      </w:pPr>
      <w:r>
        <w:t xml:space="preserve">De même que pour la mesure d’asymétrie, il n’est pas important que vous puissiez calculer cela manuellement. Par contre, vous devez pouvoir interpréter sa valeur:</w:t>
      </w:r>
      <w:r>
        <w:br w:type="textWrapping"/>
      </w:r>
      <w:r>
        <w:rPr>
          <w:i/>
        </w:rPr>
        <w:t xml:space="preserve">Lorsque la distribution a l’aplatissement d’une distribution normale, le coefficient G2 vaut exactement 0.</w:t>
      </w:r>
      <w:r>
        <w:br w:type="textWrapping"/>
      </w:r>
      <w:r>
        <w:t xml:space="preserve">Lorsque la distribution est leptokurtique, le coefficient G2 a une valeur supérieure à 0.</w:t>
      </w:r>
      <w:r>
        <w:br w:type="textWrapping"/>
      </w:r>
      <w:r>
        <w:t xml:space="preserve">*Lorsque la distribution est platikurtique, le coefficient G2 a une valeur inférieure à 0.</w:t>
      </w:r>
    </w:p>
    <w:p>
      <w:pPr>
        <w:pStyle w:val="Titre6"/>
      </w:pPr>
      <w:bookmarkStart w:id="97" w:name="pagebreak-6"/>
      <w:bookmarkEnd w:id="97"/>
      <w:r>
        <w:t xml:space="preserve">Pagebreak</w:t>
      </w:r>
    </w:p>
    <w:p>
      <w:pPr>
        <w:pStyle w:val="Titre1"/>
      </w:pPr>
      <w:bookmarkStart w:id="98" w:name="chapitre-5-relation-entre-deux-variables-continues-le-coefficient-r-de-pearson"/>
      <w:bookmarkEnd w:id="98"/>
      <w:r>
        <w:t xml:space="preserve">Chapitre 5: relation entre deux variables continues: le coefficient r de Pearson</w:t>
      </w:r>
    </w:p>
    <w:p>
      <w:pPr>
        <w:pStyle w:val="Titre6"/>
      </w:pPr>
      <w:bookmarkStart w:id="99" w:name="pagebreak-7"/>
      <w:bookmarkEnd w:id="99"/>
      <w:r>
        <w:t xml:space="preserve">Pagebreak</w:t>
      </w:r>
    </w:p>
    <w:p>
      <w:pPr>
        <w:pStyle w:val="Titre1"/>
      </w:pPr>
      <w:bookmarkStart w:id="100" w:name="references"/>
      <w:bookmarkEnd w:id="100"/>
      <w:r>
        <w:t xml:space="preserve">Références</w:t>
      </w:r>
    </w:p>
    <w:p>
      <w:pPr>
        <w:pStyle w:val="FirstParagraph"/>
      </w:pPr>
      <w:r>
        <w:t xml:space="preserve">Labreuche, J. (2010). Les différents types de variables, leurs représentations graphiques et paramêtres descriptifs. Sang Thrombose Vaisseaux, 22(10), 536-543.</w:t>
      </w:r>
    </w:p>
    <w:p>
      <w:pPr>
        <w:pStyle w:val="Corpsdetexte"/>
      </w:pPr>
      <w:r>
        <w:t xml:space="preserve">Syllabus de Christophe</w:t>
      </w:r>
    </w:p>
    <w:p>
      <w:pPr>
        <w:pStyle w:val="Corpsdetexte"/>
      </w:pPr>
      <w:r>
        <w:t xml:space="preserve">Séminaire de Christian Ritter sur les graphiques</w:t>
      </w:r>
    </w:p>
    <w:p>
      <w:pPr>
        <w:pStyle w:val="Corpsdetexte"/>
      </w:pPr>
      <w:r>
        <w:t xml:space="preserve">Support office</w:t>
      </w:r>
    </w:p>
    <w:sectPr w:rsidR="00AF3A9A">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FBB294B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28899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1AE9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A201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7404F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B443F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7D84A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A143CB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380B9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4217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96093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b58c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d25566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8768F"/>
    <w:pPr>
      <w:spacing w:before="180" w:after="180"/>
      <w:jc w:val="both"/>
    </w:pPr>
    <w:rPr>
      <w:rFonts w:ascii="Times New Roman" w:hAnsi="Times New Roman"/>
    </w:rPr>
  </w:style>
  <w:style w:type="paragraph" w:customStyle="1" w:styleId="FirstParagraph">
    <w:name w:val="First Paragraph"/>
    <w:basedOn w:val="Corpsdetexte"/>
    <w:next w:val="Corpsdetexte"/>
    <w:qFormat/>
    <w:rsid w:val="0078768F"/>
    <w:pPr>
      <w:spacing w:before="0"/>
    </w:pPr>
  </w:style>
  <w:style w:type="paragraph" w:customStyle="1" w:styleId="Compact">
    <w:name w:val="Compact"/>
    <w:basedOn w:val="Corpsdetexte"/>
    <w:qFormat/>
    <w:rsid w:val="000542D5"/>
    <w:pP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78768F"/>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hyperlink" Id="rId55" Target="https://fr.tradingeconomics.com/country-list/gdp-per-capita&#233;continent=europe" TargetMode="External" /></Relationships>
</file>

<file path=word/_rels/footnotes.xml.rels><?xml version="1.0" encoding="UTF-8"?>
<Relationships xmlns="http://schemas.openxmlformats.org/package/2006/relationships"><Relationship Type="http://schemas.openxmlformats.org/officeDocument/2006/relationships/hyperlink" Id="rId55" Target="https://fr.tradingeconomics.com/country-list/gdp-per-capita&#233;continent=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52</Words>
  <Characters>292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dcterms:created xsi:type="dcterms:W3CDTF">2018-10-17T11:55:35Z</dcterms:created>
  <dcterms:modified xsi:type="dcterms:W3CDTF">2018-10-17T11:55:35Z</dcterms:modified>
</cp:coreProperties>
</file>