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2.png" ContentType="image/png"/>
  <Override PartName="/word/media/rId66.png" ContentType="image/png"/>
  <Override PartName="/word/media/rId58.png" ContentType="image/png"/>
  <Override PartName="/word/media/rId60.png" ContentType="image/png"/>
  <Override PartName="/word/media/rId47.png" ContentType="image/png"/>
  <Override PartName="/word/media/rId39.png" ContentType="image/png"/>
  <Override PartName="/word/media/rId51.png" ContentType="image/png"/>
  <Override PartName="/word/media/rId73.png" ContentType="image/png"/>
  <Override PartName="/word/media/rId64.png" ContentType="image/png"/>
  <Override PartName="/word/media/rId78.png" ContentType="image/png"/>
  <Override PartName="/word/media/rId49.png" ContentType="image/png"/>
  <Override PartName="/word/media/rId41.png" ContentType="image/png"/>
  <Override PartName="/word/media/rId62.png" ContentType="image/png"/>
  <Override PartName="/word/media/rId61.png" ContentType="image/png"/>
  <Override PartName="/word/media/rId86.png" ContentType="image/png"/>
  <Override PartName="/word/media/rId93.png" ContentType="image/png"/>
  <Override PartName="/word/media/rId95.png" ContentType="image/png"/>
  <Override PartName="/word/media/rId96.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9.png" ContentType="image/png"/>
  <Override PartName="/word/media/rId110.png" ContentType="image/png"/>
  <Override PartName="/word/media/rId111.png" ContentType="image/png"/>
  <Override PartName="/word/media/rId11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1" w:name="pagebreak"/>
      <w:bookmarkEnd w:id="21"/>
      <w:r>
        <w:t xml:space="preserve">Pagebreak</w:t>
      </w:r>
    </w:p>
    <w:p>
      <w:pPr>
        <w:pStyle w:val="Titre1"/>
      </w:pPr>
      <w:bookmarkStart w:id="22" w:name="chapitre-1-quest-ce-que-la-statistique-et-a-quoi-sert-elle"/>
      <w:bookmarkEnd w:id="22"/>
      <w:r>
        <w:t xml:space="preserve">Chapitre 1: qu’est-ce que la statistique, et à quoi sert-elle?</w:t>
      </w:r>
    </w:p>
    <w:p>
      <w:pPr>
        <w:pStyle w:val="Titre2"/>
      </w:pPr>
      <w:bookmarkStart w:id="23" w:name="quest-ce-que-la-statistique"/>
      <w:bookmarkEnd w:id="23"/>
      <w:r>
        <w:t xml:space="preserve">Qu’est-ce que la statistique?</w:t>
      </w:r>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4" w:name="la-recolte-des-donnees-les-concepts-de-population-individus-et-echantillons"/>
      <w:bookmarkEnd w:id="24"/>
      <w:r>
        <w:t xml:space="preserve">La récolte des données: les concepts de population, individus et échantillons</w:t>
      </w:r>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 cette population sont appelés</w:t>
      </w:r>
      <w:r>
        <w:t xml:space="preserve"> </w:t>
      </w:r>
      <w:r>
        <w:rPr>
          <w:b/>
        </w:rPr>
        <w:t xml:space="preserve">individus</w:t>
      </w:r>
      <w:r>
        <w:t xml:space="preserve"> </w:t>
      </w:r>
      <w:r>
        <w:t xml:space="preserve">ou</w:t>
      </w:r>
      <w:r>
        <w:t xml:space="preserve"> </w:t>
      </w:r>
      <w:r>
        <w:rPr>
          <w:b/>
        </w:rPr>
        <w:t xml:space="preserve">unité statistique</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mêtre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5" w:name="le-traitement-des-donnees-appelee-egalement-la-statistique-descriptive"/>
      <w:bookmarkEnd w:id="25"/>
      <w:r>
        <w:t xml:space="preserve">Le traitement des données, appelée également la statistique descriptive</w:t>
      </w:r>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Titre6"/>
      </w:pPr>
      <w:bookmarkStart w:id="26" w:name="pagebreak-1"/>
      <w:bookmarkEnd w:id="26"/>
      <w:r>
        <w:t xml:space="preserve">Pagebreak</w:t>
      </w:r>
    </w:p>
    <w:p>
      <w:pPr>
        <w:pStyle w:val="FirstParagraph"/>
      </w:pPr>
      <w:r>
        <w:t xml:space="preserve">Table 1.1</w:t>
      </w:r>
      <w:r>
        <w:br w:type="textWrapping"/>
      </w:r>
      <w:r>
        <w:rPr>
          <w:i/>
        </w:rPr>
        <w:t xml:space="preserve">Données socio-démographiques récoltées auprès de 15 employés du secteur automobile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Corpsdetexte"/>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t xml:space="preserve"> </w:t>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Corpsdetexte"/>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Corpsdetexte"/>
      </w:pPr>
      <w:r>
        <w:t xml:space="preserve">Nous avons déjà évoqué le fait que la</w:t>
      </w:r>
      <w:r>
        <w:t xml:space="preserve"> </w:t>
      </w:r>
      <w:r>
        <w:rPr>
          <w:i/>
        </w:rPr>
        <w:t xml:space="preserve">nature</w:t>
      </w:r>
      <w:r>
        <w:t xml:space="preserve"> </w:t>
      </w:r>
      <w:r>
        <w:t xml:space="preserve">des variables en jeu aura des implications sur les possibilités d’analyses. Le choix des représentations graphiques et des résumés algébriques que l’on pourra réaliser à l’aide des données dépendront de cette nature!</w:t>
      </w:r>
    </w:p>
    <w:p>
      <w:pPr>
        <w:pStyle w:val="Titre3"/>
      </w:pPr>
      <w:bookmarkStart w:id="27" w:name="linterpretation-des-donnees-appelee-egalement-la-statistique-inferentielle"/>
      <w:bookmarkEnd w:id="27"/>
      <w:r>
        <w:t xml:space="preserve">L’interprétation des données, appelée également la statistique inférentielle</w:t>
      </w:r>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Titre6"/>
      </w:pPr>
      <w:bookmarkStart w:id="28" w:name="pagebreak-2"/>
      <w:bookmarkEnd w:id="28"/>
      <w:r>
        <w:t xml:space="preserve">Pagebreak</w:t>
      </w:r>
    </w:p>
    <w:p>
      <w:pPr>
        <w:pStyle w:val="Titre1"/>
      </w:pPr>
      <w:bookmarkStart w:id="29" w:name="chapitre-2-mesure-des-variables"/>
      <w:bookmarkEnd w:id="29"/>
      <w:r>
        <w:t xml:space="preserve">Chapitre 2: mesure des variables</w:t>
      </w:r>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Corpsdetexte"/>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Titre3"/>
      </w:pPr>
      <w:bookmarkStart w:id="30" w:name="les-variables-qualitatives"/>
      <w:bookmarkEnd w:id="30"/>
      <w:r>
        <w:t xml:space="preserve">Les variables qualitatives</w:t>
      </w:r>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Corpsdetexte"/>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Corpsdetexte"/>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Corpsdetexte"/>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 est de type ordinal, dans la mesure où l’on sait que les grands sont plus grands que les moyens, étant eux-mêmes plus grands que les petits.</w:t>
      </w:r>
    </w:p>
    <w:p>
      <w:pPr>
        <w:pStyle w:val="Corpsdetexte"/>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Titre2"/>
      </w:pPr>
      <w:bookmarkStart w:id="31" w:name="les-variables-quantitatives"/>
      <w:bookmarkEnd w:id="31"/>
      <w:r>
        <w:t xml:space="preserve">Les variables quantitatives</w:t>
      </w:r>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ses valeurs. Par exemple, si un fermier dispose de deux poules, que la première pond trois oeufs et la deuxième en pond deux, il est correct de dire que le fermier trouvera 5 oeufs lorsqu’il se rendra dans son poulailler.</w:t>
      </w:r>
    </w:p>
    <w:p>
      <w:pPr>
        <w:pStyle w:val="Corpsdetexte"/>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Corpsdetexte"/>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Titre6"/>
      </w:pPr>
      <w:bookmarkStart w:id="32" w:name="pagebreak-3"/>
      <w:bookmarkEnd w:id="32"/>
      <w:r>
        <w:t xml:space="preserve">Pagebreak</w:t>
      </w:r>
    </w:p>
    <w:p>
      <w:pPr>
        <w:pStyle w:val="Titre1"/>
      </w:pPr>
      <w:bookmarkStart w:id="33" w:name="chapitre-3-exploration-graphique-des-donnees-a-une-dimension"/>
      <w:bookmarkEnd w:id="33"/>
      <w:r>
        <w:t xml:space="preserve">Chapitre 3: exploration graphique des données à une dimension</w:t>
      </w:r>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Corpsdetexte"/>
      </w:pPr>
      <w:r>
        <w:t xml:space="preserve">Il existe une multitude de représentations graphiques si bien qu’il n’est pas toujours évident de savoir quelle représentation choisir. Par ailleurs, certains logiciels proposent des solutions plus ou moins fantaisistes qui peuvent sembler tententes (représentations en 3D, avec couleurs inhabituelles, textures bois…). Je déconseille vivement l’usage de ces artifices. Gardez qu’une bonne présentation est la clé d’une bonne communication.</w:t>
      </w:r>
    </w:p>
    <w:p>
      <w:pPr>
        <w:pStyle w:val="Corpsdetexte"/>
      </w:pPr>
      <w:r>
        <w:t xml:space="preserve">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Corpsdetexte"/>
      </w:pPr>
      <w:r>
        <w:t xml:space="preserve">Nous développerons deux catégories de graphiques: ceux qui sont construits sur base de</w:t>
      </w:r>
      <w:r>
        <w:t xml:space="preserve"> </w:t>
      </w:r>
      <w:r>
        <w:rPr>
          <w:b/>
        </w:rPr>
        <w:t xml:space="preserve">tableaux de fréquence</w:t>
      </w:r>
      <w:r>
        <w:t xml:space="preserve"> </w:t>
      </w:r>
      <w:r>
        <w:t xml:space="preserve">et ceux qui reposent sur le calcul de</w:t>
      </w:r>
      <w:r>
        <w:t xml:space="preserve"> </w:t>
      </w:r>
      <w:r>
        <w:rPr>
          <w:b/>
        </w:rPr>
        <w:t xml:space="preserve">quantiles</w:t>
      </w:r>
      <w:r>
        <w:t xml:space="preserve">.</w:t>
      </w:r>
    </w:p>
    <w:p>
      <w:pPr>
        <w:pStyle w:val="Titre2"/>
      </w:pPr>
      <w:bookmarkStart w:id="34" w:name="les-graphiques-construits-sur-base-des-tableaux-de-frequences"/>
      <w:bookmarkEnd w:id="34"/>
      <w:r>
        <w:t xml:space="preserve">Les graphiques construits sur base des tableaux de fréquences</w:t>
      </w:r>
    </w:p>
    <w:p>
      <w:pPr>
        <w:pStyle w:val="Titre3"/>
      </w:pPr>
      <w:bookmarkStart w:id="35" w:name="variables-qualitatives"/>
      <w:bookmarkEnd w:id="35"/>
      <w:r>
        <w:t xml:space="preserve">Variables qualitatives</w:t>
      </w:r>
    </w:p>
    <w:p>
      <w:pPr>
        <w:pStyle w:val="Titre4"/>
      </w:pPr>
      <w:bookmarkStart w:id="36" w:name="simplification-des-donnees"/>
      <w:bookmarkEnd w:id="36"/>
      <w:r>
        <w:t xml:space="preserve">Simplification des données</w:t>
      </w:r>
    </w:p>
    <w:p>
      <w:pPr>
        <w:pStyle w:val="FirstParagraph"/>
      </w:pPr>
      <w:r>
        <w:t xml:space="preserve">Imaginez que 40 participants aient répondu par</w:t>
      </w:r>
      <w:r>
        <w:t xml:space="preserve"> </w:t>
      </w:r>
      <w:r>
        <w:t xml:space="preserve">“</w:t>
      </w:r>
      <w:r>
        <w:t xml:space="preserve">oui</w:t>
      </w:r>
      <w:r>
        <w:t xml:space="preserve">”</w:t>
      </w:r>
      <w:r>
        <w:t xml:space="preserve"> </w:t>
      </w:r>
      <w:r>
        <w:t xml:space="preserve">ou</w:t>
      </w:r>
      <w:r>
        <w:t xml:space="preserve"> </w:t>
      </w:r>
      <w:r>
        <w:t xml:space="preserve">“</w:t>
      </w:r>
      <w:r>
        <w:t xml:space="preserve">non</w:t>
      </w:r>
      <w:r>
        <w:t xml:space="preserve">”</w:t>
      </w:r>
      <w:r>
        <w:t xml:space="preserve"> </w:t>
      </w:r>
      <w:r>
        <w:t xml:space="preserve">à la question suivante</w:t>
      </w:r>
      <w:r>
        <w:t xml:space="preserve"> </w:t>
      </w:r>
      <w:r>
        <w:t xml:space="preserve">“</w:t>
      </w:r>
      <w:r>
        <w:t xml:space="preserve">Etes vous fumeur?</w:t>
      </w:r>
      <w:r>
        <w:t xml:space="preserve">”</w:t>
      </w:r>
      <w:r>
        <w:t xml:space="preserve"> </w:t>
      </w:r>
      <w:r>
        <w:t xml:space="preserve">et que vous vous retrouvez avec l’ensemble de réponse suivant:</w:t>
      </w:r>
    </w:p>
    <w:tbl>
      <w:tblPr>
        <w:tblStyle w:val="TableNormal"/>
        <w:tblW w:type="pct" w:w="0.0"/>
        <w:tblLook/>
      </w:tblPr>
      <w:tblGrid/>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oui</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bl>
    <w:p>
      <w:pPr>
        <w:pStyle w:val="Corpsdetexte"/>
      </w:pPr>
      <w:r>
        <w:t xml:space="preserve">C’est ce qu’on appelle les données brutes. Une manière de résumer cet ensemble d’information est de calculer un</w:t>
      </w:r>
      <w:r>
        <w:t xml:space="preserve"> </w:t>
      </w:r>
      <w:r>
        <w:rPr>
          <w:b/>
        </w:rPr>
        <w:t xml:space="preserve">tableau de fréquences</w:t>
      </w:r>
      <w:r>
        <w:t xml:space="preserve">, tel que représenté dans la Table 3.1.</w:t>
      </w:r>
    </w:p>
    <w:p>
      <w:pPr>
        <w:pStyle w:val="Corpsdetexte"/>
      </w:pPr>
      <w:r>
        <w:t xml:space="preserve">Table 3.1</w:t>
      </w:r>
      <w:r>
        <w:t xml:space="preserve"> </w:t>
      </w:r>
      <w:r>
        <w:rPr>
          <w:i/>
        </w:rPr>
        <w:t xml:space="preserve">Transformation des données brutes relatives aux fumeurs en tableau de fréquence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fumeur (</w:t>
            </w:r>
            <m:oMath>
              <m:sSub>
                <m:e>
                  <m:r>
                    <m:t>x</m:t>
                  </m:r>
                </m:e>
                <m:sub>
                  <m:r>
                    <m:t>j</m:t>
                  </m:r>
                </m:sub>
              </m:sSub>
              <m:r>
                <m:t>)</m:t>
              </m:r>
            </m:oMath>
          </w:p>
        </w:tc>
        <w:tc>
          <w:tcPr>
            <w:tcBorders>
              <w:bottom w:val="single"/>
            </w:tcBorders>
            <w:vAlign w:val="bottom"/>
          </w:tcPr>
          <w:p>
            <w:pPr>
              <w:pStyle w:val="Compact"/>
              <w:jc w:val="right"/>
            </w:pPr>
            <m:oMath>
              <m:sSub>
                <m:e>
                  <m:r>
                    <m:t>n</m:t>
                  </m:r>
                </m:e>
                <m:sub>
                  <m:r>
                    <m:t>j</m:t>
                  </m:r>
                </m:sub>
              </m:sSub>
            </m:oMath>
          </w:p>
        </w:tc>
        <w:tc>
          <w:tcPr>
            <w:tcBorders>
              <w:bottom w:val="single"/>
            </w:tcBorders>
            <w:vAlign w:val="bottom"/>
          </w:tcPr>
          <w:p>
            <w:pPr>
              <w:pStyle w:val="Compact"/>
              <w:jc w:val="right"/>
            </w:pPr>
            <m:oMath>
              <m:sSub>
                <m:e>
                  <m:r>
                    <m:t>f</m:t>
                  </m:r>
                </m:e>
                <m:sub>
                  <m:r>
                    <m:t>j</m:t>
                  </m:r>
                </m:sub>
              </m:sSub>
            </m:oMath>
          </w:p>
        </w:tc>
      </w:tr>
      <w:tr>
        <w:tc>
          <w:p>
            <w:pPr>
              <w:pStyle w:val="Compact"/>
              <w:jc w:val="left"/>
            </w:pPr>
            <w:r>
              <w:t xml:space="preserve">non</w:t>
            </w:r>
          </w:p>
        </w:tc>
        <w:tc>
          <w:p>
            <w:pPr>
              <w:pStyle w:val="Compact"/>
              <w:jc w:val="right"/>
            </w:pPr>
            <w:r>
              <w:t xml:space="preserve">30</w:t>
            </w:r>
          </w:p>
        </w:tc>
        <w:tc>
          <w:p>
            <w:pPr>
              <w:pStyle w:val="Compact"/>
              <w:jc w:val="right"/>
            </w:pPr>
            <w:r>
              <w:t xml:space="preserve">0.75</w:t>
            </w:r>
          </w:p>
        </w:tc>
      </w:tr>
      <w:tr>
        <w:tc>
          <w:p>
            <w:pPr>
              <w:pStyle w:val="Compact"/>
              <w:jc w:val="left"/>
            </w:pPr>
            <w:r>
              <w:t xml:space="preserve">oui</w:t>
            </w:r>
          </w:p>
        </w:tc>
        <w:tc>
          <w:p>
            <w:pPr>
              <w:pStyle w:val="Compact"/>
              <w:jc w:val="right"/>
            </w:pPr>
            <w:r>
              <w:t xml:space="preserve">10</w:t>
            </w:r>
          </w:p>
        </w:tc>
        <w:tc>
          <w:p>
            <w:pPr>
              <w:pStyle w:val="Compact"/>
              <w:jc w:val="right"/>
            </w:pPr>
            <w:r>
              <w:t xml:space="preserve">0.25</w:t>
            </w:r>
          </w:p>
        </w:tc>
      </w:tr>
    </w:tbl>
    <w:p>
      <w:pPr>
        <w:pStyle w:val="Corpsdetexte"/>
      </w:pPr>
      <w:r>
        <w:t xml:space="preserve">Il s’agit d’un tableau dans lequel chaque ligne représente une valeur possible de la variable. Comme vous pouvez l’observer, deux lignes ont été envisagées (une pour les fumeurs, une pour les non fumeurs) et le nombre de personnes appartenant à chaque catégorie constitue ce que l’on appelle la</w:t>
      </w:r>
      <w:r>
        <w:t xml:space="preserve"> </w:t>
      </w:r>
      <w:r>
        <w:rPr>
          <w:b/>
        </w:rPr>
        <w:t xml:space="preserve">fréquence absolue</w:t>
      </w:r>
      <w:r>
        <w:t xml:space="preserve">. La somme des fréquences absolues correspond au nombre total de personnes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30</m:t>
          </m:r>
          <m:r>
            <m:t>+</m:t>
          </m:r>
          <m:r>
            <m:t>10</m:t>
          </m:r>
          <m:r>
            <m:t>=</m:t>
          </m:r>
          <m:r>
            <m:t>40</m:t>
          </m:r>
        </m:oMath>
      </m:oMathPara>
    </w:p>
    <w:p>
      <w:pPr>
        <w:pStyle w:val="FirstParagraph"/>
      </w:pPr>
      <w:r>
        <w:t xml:space="preserve">La colonne suivante contient la même information mais par rapport à l’ensemble des ménages, c’est la</w:t>
      </w:r>
      <w:r>
        <w:t xml:space="preserve"> </w:t>
      </w:r>
      <w:r>
        <w:rPr>
          <w:b/>
        </w:rPr>
        <w:t xml:space="preserve">fréquence relative</w:t>
      </w:r>
      <w:r>
        <w:t xml:space="preserve">.</w:t>
      </w:r>
    </w:p>
    <w:p>
      <w:pPr>
        <w:pStyle w:val="Corpsdetexte"/>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br w:type="textWrapping"/>
      </w:r>
      <w:r>
        <w:t xml:space="preserve">Par exemple, 30 personnes de l’échantillon sur 40 ne fument pas, or 30/40 x 100 = 75 % (75% des personnes ne notre échantillon ne fument pas).</w:t>
      </w:r>
    </w:p>
    <w:p>
      <w:pPr>
        <w:pStyle w:val="Corpsdetexte"/>
      </w:pPr>
      <w: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vaiable X seront symboliées par x). On utilise l’indice</w:t>
      </w:r>
      <w:r>
        <w:t xml:space="preserve"> </w:t>
      </w:r>
      <w:r>
        <w:rPr>
          <w:i/>
        </w:rPr>
        <w:t xml:space="preserve">j</w:t>
      </w:r>
      <w:r>
        <w:t xml:space="preserve"> </w:t>
      </w:r>
      <w:r>
        <w:t xml:space="preserve">pour se référer à chaque valeur possible, j pouvant varier de 1 à k (dans le cas présent, k = 2). On symbolise par</w:t>
      </w:r>
      <w:r>
        <w:t xml:space="preserve"> </w:t>
      </w:r>
      <m:oMath>
        <m:sSub>
          <m:e>
            <m:r>
              <m:t>x</m:t>
            </m:r>
          </m:e>
          <m:sub>
            <m:r>
              <m:t>j</m:t>
            </m:r>
          </m:sub>
        </m:sSub>
      </m:oMath>
      <w:r>
        <w:t xml:space="preserve"> </w:t>
      </w:r>
      <w:r>
        <w:t xml:space="preserve">(x indicé j) la jème valeur possible de la variable X. Par exemple, si l’on choisit de nommer X la variable</w:t>
      </w:r>
      <w:r>
        <w:t xml:space="preserve"> </w:t>
      </w:r>
      <w:r>
        <w:t xml:space="preserve">“</w:t>
      </w:r>
      <w:r>
        <w:t xml:space="preserve">fumer</w:t>
      </w:r>
      <w:r>
        <w:t xml:space="preserve">”</w:t>
      </w:r>
      <w:r>
        <w:t xml:space="preserve">,</w:t>
      </w:r>
      <w:r>
        <w:t xml:space="preserve"> </w:t>
      </w:r>
      <m:oMath>
        <m:sSub>
          <m:e>
            <m:r>
              <m:t>x</m:t>
            </m:r>
          </m:e>
          <m:sub>
            <m:r>
              <m:t>2</m:t>
            </m:r>
          </m:sub>
        </m:sSub>
        <m:r>
          <m:t>=</m:t>
        </m:r>
        <m:r>
          <m:t>o</m:t>
        </m:r>
        <m:r>
          <m:t>u</m:t>
        </m:r>
        <m:r>
          <m:t>i</m:t>
        </m:r>
      </m:oMath>
      <w:r>
        <w:t xml:space="preserve">.</w:t>
      </w:r>
      <w:r>
        <w:t xml:space="preserve"> </w:t>
      </w:r>
      <m:oMath>
        <m:sSub>
          <m:e>
            <m:r>
              <m:t>n</m:t>
            </m:r>
          </m:e>
          <m:sub>
            <m:r>
              <m:t>j</m:t>
            </m:r>
          </m:sub>
        </m:sSub>
      </m:oMath>
      <w:r>
        <w:t xml:space="preserve"> </w:t>
      </w:r>
      <w:r>
        <w:t xml:space="preserve">correspond aux fréquences absolues associées à chaque valeur</w:t>
      </w:r>
      <w:r>
        <w:t xml:space="preserve"> </w:t>
      </w:r>
      <m:oMath>
        <m:sSub>
          <m:e>
            <m:r>
              <m:t>x</m:t>
            </m:r>
          </m:e>
          <m:sub>
            <m:r>
              <m:t>j</m:t>
            </m:r>
          </m:sub>
        </m:sSub>
      </m:oMath>
      <w:r>
        <w:t xml:space="preserve">. Par exemple,</w:t>
      </w:r>
      <w:r>
        <w:t xml:space="preserve"> </w:t>
      </w:r>
      <m:oMath>
        <m:sSub>
          <m:e>
            <m:r>
              <m:t>n</m:t>
            </m:r>
          </m:e>
          <m:sub>
            <m:r>
              <m:t>1</m:t>
            </m:r>
          </m:sub>
        </m:sSub>
      </m:oMath>
      <w:r>
        <w:t xml:space="preserve">= 30. Enfin,</w:t>
      </w:r>
      <w:r>
        <w:t xml:space="preserve"> </w:t>
      </w:r>
      <m:oMath>
        <m:sSub>
          <m:e>
            <m:r>
              <m:t>f</m:t>
            </m:r>
          </m:e>
          <m:sub>
            <m:r>
              <m:t>i</m:t>
            </m:r>
          </m:sub>
        </m:sSub>
      </m:oMath>
      <w:r>
        <w:t xml:space="preserve"> </w:t>
      </w:r>
      <w:r>
        <w:t xml:space="preserve">correspond aux fréquences relatives. Par exemple</w:t>
      </w:r>
      <w:r>
        <w:t xml:space="preserve"> </w:t>
      </w:r>
      <m:oMath>
        <m:sSub>
          <m:e>
            <m:r>
              <m:t>f</m:t>
            </m:r>
          </m:e>
          <m:sub>
            <m:r>
              <m:t>2</m:t>
            </m:r>
          </m:sub>
        </m:sSub>
      </m:oMath>
      <w:r>
        <w:t xml:space="preserve">= 0.25.</w:t>
      </w:r>
    </w:p>
    <w:p>
      <w:pPr>
        <w:pStyle w:val="Corpsdetexte"/>
      </w:pPr>
      <w:r>
        <w:t xml:space="preserve">Notons que quand on étudie des variables nominales, peu importe l’ordre d’apparition des modalités de la variable dans le tableau de fréquence. Dans l’exemple, nous avons représenté d’abord les non fumeurs, suivi des fumeurs. L’inverse aurait pu être fait également sans pour autant altérer le contenu informatif du tableau.</w:t>
      </w:r>
    </w:p>
    <w:p>
      <w:pPr>
        <w:pStyle w:val="Titre4"/>
      </w:pPr>
      <w:bookmarkStart w:id="37" w:name="realisation-graphique"/>
      <w:bookmarkEnd w:id="37"/>
      <w:r>
        <w:t xml:space="preserve">Réalisation graphique</w:t>
      </w:r>
    </w:p>
    <w:p>
      <w:pPr>
        <w:pStyle w:val="Titre5"/>
      </w:pPr>
      <w:bookmarkStart w:id="38" w:name="diagramme-en-batons"/>
      <w:bookmarkEnd w:id="38"/>
      <w:r>
        <w:t xml:space="preserve">Diagramme en bâtons</w:t>
      </w:r>
    </w:p>
    <w:p>
      <w:pPr>
        <w:pStyle w:val="FirstParagraph"/>
      </w:pPr>
      <w:r>
        <w:t xml:space="preserve">Le diagramme en bâtons consiste à représenter en abcisse les différentes valeurs que peut prendre la variable que l’on étudie(</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Corpsdetexte"/>
      </w:pPr>
      <w:r>
        <w:t xml:space="preserve">L’ordre dans lequel les différents bâtonnets importe peu lorsqu’on représente des variables nominales. De plus, étant donné que l’axe des abcisses n’est pas normé, la largeur des bâtons importe peu également (même si pour le confort des yeux, on les gardera généralement uniformes).</w:t>
      </w:r>
    </w:p>
    <w:p>
      <w:pPr>
        <w:pStyle w:val="Corpsdetexte"/>
      </w:pPr>
      <w:r>
        <w:t xml:space="preserve">La figure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 et de non fumeur, dans le second cas, on peut déterminer le pourcentage de personnse qui fument ou ne fument pas dans l’échantillon.</w:t>
      </w:r>
    </w:p>
    <w:p>
      <w:pPr>
        <w:pStyle w:val="Corpsdetexte"/>
      </w:pPr>
      <w:r>
        <w:t xml:space="preserve">Figure 3.1</w:t>
      </w:r>
      <w:r>
        <w:br w:type="textWrapping"/>
      </w:r>
      <w:r>
        <w:rPr>
          <w:i/>
        </w:rPr>
        <w:t xml:space="preserve">Diagramme en barre de la distribution de la Table 3.1</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fumeu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0" w:name="diagramme-circulaire"/>
      <w:bookmarkEnd w:id="40"/>
      <w:r>
        <w:t xml:space="preserve">Diagramme circulaire</w:t>
      </w:r>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Corpsdetexte"/>
      </w:pPr>
      <w:r>
        <w:t xml:space="preserve">La Figure 3.2 montre deux diagrammes circulaires de notre distribution. De même que pour les diagrammes en bâtons, que ce soient les fréquences absolues ou les fréquences relatives importe peu de termes de forme de graphe, mais l’informatin donnée varie légèrement: dans le premier cas, on peut dénombrer le nombre de fumeur et de non fumeur, dans le second cas, on peut déterminer le pourcentage de personnse qui fument ou ne fument pas dans l’échantillon.</w:t>
      </w:r>
    </w:p>
    <w:p>
      <w:pPr>
        <w:pStyle w:val="Corpsdetexte"/>
      </w:pPr>
      <w:r>
        <w:t xml:space="preserve">Figure 3.2</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fumeu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Déterminer l’angle pour chaque catégorie peut se faire en procédant à une règle de trois. Un cercle fait exactement 360° et doit représenter l’ensemble des individus constituant l’échantillon, soit 40. Ces 360° doivent être répartis entre les catégories, de manière proportionnelle à la fréquence de chaque catégorie. Par exemple, 30 personnes ne fument pas (valeur</w:t>
      </w:r>
      <w:r>
        <w:t xml:space="preserve"> </w:t>
      </w:r>
      <m:oMath>
        <m:sSub>
          <m:e>
            <m:r>
              <m:t>x</m:t>
            </m:r>
          </m:e>
          <m:sub>
            <m:r>
              <m:t>j</m:t>
            </m:r>
          </m:sub>
        </m:sSub>
      </m:oMath>
      <w:r>
        <w:t xml:space="preserve"> </w:t>
      </w:r>
      <w:r>
        <w:t xml:space="preserve">= non). Cela représente 75% de l’échantillon, l’angle correspondra donc à 75% des 360°.</w:t>
      </w:r>
    </w:p>
    <w:p>
      <w:pPr>
        <w:pStyle w:val="Corpsdetexte"/>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30</m:t>
          </m:r>
          <m:r>
            <m:t>→</m:t>
          </m:r>
          <m:f>
            <m:fPr>
              <m:type m:val="bar"/>
            </m:fPr>
            <m:num>
              <m:r>
                <m:t>360</m:t>
              </m:r>
              <m:r>
                <m:t>°</m:t>
              </m:r>
            </m:num>
            <m:den>
              <m:r>
                <m:t>40</m:t>
              </m:r>
            </m:den>
          </m:f>
          <m:r>
            <m:t>×</m:t>
          </m:r>
          <m:r>
            <m:t>30</m:t>
          </m:r>
          <m:r>
            <m:t>=</m:t>
          </m:r>
          <m:r>
            <m:t>270</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plutét que les fréquences absolues, fournit exactement le même résultat, à condition d’utiliser les valeurs exactes (non arrondies). La preuve:</w:t>
      </w:r>
    </w:p>
    <w:p>
      <w:pPr>
        <w:pStyle w:val="Corpsdetexte"/>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75</m:t>
          </m:r>
          <m:r>
            <m:t>%</m:t>
          </m:r>
          <m:r>
            <m:t>→</m:t>
          </m:r>
          <m:f>
            <m:fPr>
              <m:type m:val="bar"/>
            </m:fPr>
            <m:num>
              <m:r>
                <m:t>360</m:t>
              </m:r>
              <m:r>
                <m:t>°</m:t>
              </m:r>
            </m:num>
            <m:den>
              <m:r>
                <m:t>100</m:t>
              </m:r>
            </m:den>
          </m:f>
          <m:r>
            <m:t>×</m:t>
          </m:r>
          <m:r>
            <m:t>75</m:t>
          </m:r>
          <m:r>
            <m:t>=</m:t>
          </m:r>
          <m:r>
            <m:t>270</m:t>
          </m:r>
          <m:r>
            <m:t>°</m:t>
          </m:r>
        </m:oMath>
      </m:oMathPara>
    </w:p>
    <w:p>
      <w:pPr>
        <w:pStyle w:val="FirstParagraph"/>
      </w:pPr>
      <w:r>
        <w:t xml:space="preserve">Bien que ça ne soit pas le cas dans cet exemple, les fréquences relatives contiendront parfois un nombre important (voire infini) de décimales. Il est dès lors généralement plus facile de déterminer les angles de chaque part sur base des fréquences abolues plutôt que sur base des fréquences relatives. La Table 3.4 fournit les angles qui devraient être associés à chaque catégorie dans l’exemple de la Table 3.1:</w:t>
      </w:r>
    </w:p>
    <w:p>
      <w:pPr>
        <w:pStyle w:val="Corpsdetexte"/>
      </w:pPr>
      <w:r>
        <w:t xml:space="preserve">Table 3.4</w:t>
      </w:r>
      <w:r>
        <w:br w:type="textWrapping"/>
      </w:r>
      <w:r>
        <w:rPr>
          <w:i/>
        </w:rPr>
        <w:t xml:space="preserve">Angle de chaque part du diagramme circulaire représententant les données de la Table 3.1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non</w:t>
            </w:r>
          </w:p>
        </w:tc>
        <w:tc>
          <w:p>
            <w:pPr>
              <w:pStyle w:val="Compact"/>
              <w:jc w:val="center"/>
            </w:pPr>
            <w:r>
              <w:t xml:space="preserve">30</w:t>
            </w:r>
          </w:p>
        </w:tc>
        <w:tc>
          <w:p>
            <w:pPr>
              <w:pStyle w:val="Compact"/>
              <w:jc w:val="center"/>
            </w:pPr>
            <w:r>
              <w:t xml:space="preserve">270</w:t>
            </w:r>
          </w:p>
        </w:tc>
      </w:tr>
      <w:tr>
        <w:tc>
          <w:p>
            <w:pPr>
              <w:pStyle w:val="Compact"/>
              <w:jc w:val="center"/>
            </w:pPr>
            <w:r>
              <w:t xml:space="preserve">oui</w:t>
            </w:r>
          </w:p>
        </w:tc>
        <w:tc>
          <w:p>
            <w:pPr>
              <w:pStyle w:val="Compact"/>
              <w:jc w:val="center"/>
            </w:pPr>
            <w:r>
              <w:t xml:space="preserve">10</w:t>
            </w:r>
          </w:p>
        </w:tc>
        <w:tc>
          <w:p>
            <w:pPr>
              <w:pStyle w:val="Compact"/>
              <w:jc w:val="center"/>
            </w:pPr>
            <w:r>
              <w:t xml:space="preserve">90</w:t>
            </w:r>
          </w:p>
        </w:tc>
      </w:tr>
    </w:tbl>
    <w:p>
      <w:pPr>
        <w:pStyle w:val="Corpsdetexte"/>
      </w:pPr>
      <w:r>
        <w:t xml:space="preserve">Ce type de graphique présente de nombreux inconvénients en termes de communication. Entre autres, ils sont peu précis: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pPr>
        <w:pStyle w:val="Titre3"/>
      </w:pPr>
      <w:bookmarkStart w:id="42" w:name="variables-quantitatives-discretes"/>
      <w:bookmarkEnd w:id="42"/>
      <w:r>
        <w:t xml:space="preserve">Variables quantitatives discrètes</w:t>
      </w:r>
    </w:p>
    <w:p>
      <w:pPr>
        <w:pStyle w:val="FirstParagraph"/>
      </w:pPr>
      <w:r>
        <w:t xml:space="preserve">Table 3.2</w:t>
      </w:r>
      <w:r>
        <w:br w:type="textWrapping"/>
      </w:r>
      <w:r>
        <w:rPr>
          <w:i/>
        </w:rPr>
        <w:t xml:space="preserve">Données brutes relatives au nombre d’enfants par ménages, au sein de 40 ménages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Titre4"/>
      </w:pPr>
      <w:bookmarkStart w:id="43" w:name="simplification-des-donnees-transformation-en-tableaux-de-frequences"/>
      <w:bookmarkEnd w:id="43"/>
      <w:r>
        <w:t xml:space="preserve">Simplification des données: transformation en tableaux de fréquences</w:t>
      </w:r>
    </w:p>
    <w:p>
      <w:pPr>
        <w:pStyle w:val="FirstParagraph"/>
      </w:pPr>
      <w:r>
        <w:t xml:space="preserve">La Table 3.2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Corpsdetexte"/>
      </w:pPr>
      <w:r>
        <w:t xml:space="preserve">La Table 3.3 constitue le tableau de fréquence de ces données.</w:t>
      </w:r>
    </w:p>
    <w:p>
      <w:pPr>
        <w:pStyle w:val="Titre6"/>
      </w:pPr>
      <w:bookmarkStart w:id="44" w:name="pagebreak-4"/>
      <w:bookmarkEnd w:id="44"/>
      <w:r>
        <w:t xml:space="preserve">Pagebreak</w:t>
      </w:r>
    </w:p>
    <w:p>
      <w:pPr>
        <w:pStyle w:val="FirstParagraph"/>
      </w:pPr>
      <w:r>
        <w:t xml:space="preserve">Table 3.3</w:t>
      </w:r>
      <w:r>
        <w:br w:type="textWrapping"/>
      </w:r>
      <w:r>
        <w:rPr>
          <w:i/>
        </w:rPr>
        <w:t xml:space="preserve">Transformation de la Table 3.2 en tableau de fréquence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Corpsdetexte"/>
      </w:pPr>
      <w:r>
        <w:t xml:space="preserve">Comme vous pouvez l’observer, de même que fait précédemment pour les variables nominales, les nombres possibles d’enfants par ménage ont été envisagés et on leur associe une fréquence absolue (</w:t>
      </w:r>
      <m:oMath>
        <m:sSub>
          <m:e>
            <m:r>
              <m:t>n</m:t>
            </m:r>
          </m:e>
          <m:sub>
            <m:r>
              <m:t>j</m:t>
            </m:r>
          </m:sub>
        </m:sSub>
      </m:oMath>
      <w:r>
        <w:t xml:space="preserve">), et une fréquence relative (</w:t>
      </w:r>
      <m:oMath>
        <m:sSub>
          <m:e>
            <m:r>
              <m:t>f</m:t>
            </m:r>
          </m:e>
          <m:sub>
            <m:r>
              <m:t>j</m:t>
            </m:r>
          </m:sub>
        </m:sSub>
      </m:oMath>
      <w:r>
        <w:t xml:space="preserve">). Par ailleurs, la somme des fréquences absolues correspond toujours au nombre total de ménages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Contrairement au cas des variables nominales, l’ordre de présentation de chaque ligne a une importance. On triera généralement les valeurs possibles de la variable représentée par ordre croissant (1 apparait avant 2, 2 apparait avant 3, etc.).</w:t>
      </w:r>
    </w:p>
    <w:p>
      <w:pPr>
        <w:pStyle w:val="Corpsdetexte"/>
      </w:pPr>
      <w:r>
        <w:t xml:space="preserve">De plus, on pourra calculer ce qu’on appelle les</w:t>
      </w:r>
      <w:r>
        <w:t xml:space="preserve"> </w:t>
      </w:r>
      <w:r>
        <w:rPr>
          <w:b/>
        </w:rPr>
        <w:t xml:space="preserve">fréquences cumulées</w:t>
      </w:r>
      <w:r>
        <w:t xml:space="preserve">, soit le cumul de plusieurs fréquences.</w:t>
      </w:r>
    </w:p>
    <w:p>
      <w:pPr>
        <w:pStyle w:val="Corpsdetexte"/>
      </w:pPr>
      <w:r>
        <w:t xml:space="preserve">Les fréquences absolues cumulées sont la somme de plusieurs fréquences absolues (notation:</w:t>
      </w:r>
      <w:r>
        <w:t xml:space="preserve"> </w:t>
      </w:r>
      <m:oMath>
        <m:sSub>
          <m:e>
            <m:r>
              <m:t>N</m:t>
            </m:r>
          </m:e>
          <m:sub>
            <m:r>
              <m:t>i</m:t>
            </m:r>
          </m:sub>
        </m:sSub>
      </m:oMath>
      <w:r>
        <w:t xml:space="preserve">).</w:t>
      </w:r>
    </w:p>
    <w:p>
      <w:pPr>
        <w:pStyle w:val="Corpsdetexte"/>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i</m:t>
            </m:r>
          </m:sub>
        </m:sSub>
      </m:oMath>
      <w:r>
        <w:t xml:space="preserve">).</w:t>
      </w:r>
    </w:p>
    <w:p>
      <w:pPr>
        <w:pStyle w:val="Corpsdetexte"/>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Titre4"/>
      </w:pPr>
      <w:bookmarkStart w:id="45" w:name="representation-graphique"/>
      <w:bookmarkEnd w:id="45"/>
      <w:r>
        <w:t xml:space="preserve">Représentation graphique</w:t>
      </w:r>
    </w:p>
    <w:p>
      <w:pPr>
        <w:pStyle w:val="Titre5"/>
      </w:pPr>
      <w:bookmarkStart w:id="46" w:name="diagramme-en-batons-1"/>
      <w:bookmarkEnd w:id="46"/>
      <w:r>
        <w:t xml:space="preserve">Diagramme en bâtons</w:t>
      </w:r>
    </w:p>
    <w:p>
      <w:pPr>
        <w:pStyle w:val="FirstParagraph"/>
      </w:pPr>
      <w:r>
        <w:t xml:space="preserve">Dans la mesure où il existe un ordre logique entre les différentes valeurs de la variable représentée, l’ordre des bâtonnets importe (contrairement au cas des variables nominales).</w:t>
      </w:r>
    </w:p>
    <w:p>
      <w:pPr>
        <w:pStyle w:val="Corpsdetexte"/>
      </w:pPr>
      <w:r>
        <w:t xml:space="preserve">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ce nombre d’enfants.</w:t>
      </w:r>
    </w:p>
    <w:p>
      <w:pPr>
        <w:pStyle w:val="Corpsdetexte"/>
      </w:pPr>
      <w:r>
        <w:t xml:space="preserve">Figure 3.3</w:t>
      </w:r>
      <w:r>
        <w:br w:type="textWrapping"/>
      </w:r>
      <w:r>
        <w:rPr>
          <w:i/>
        </w:rPr>
        <w:t xml:space="preserve">Diagramme en barre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8" w:name="diagramme-circulaire-1"/>
      <w:bookmarkEnd w:id="48"/>
      <w:r>
        <w:t xml:space="preserve">Diagramme circulaire</w:t>
      </w:r>
    </w:p>
    <w:p>
      <w:pPr>
        <w:pStyle w:val="FirstParagraph"/>
      </w:pPr>
      <w:r>
        <w:t xml:space="preserve">La Figure 3.4 montre deux diagrammes circulaires de notre distribution: l’un qui représente les fréquences absolues, et l’autre qui représente les fréquences relatives.</w:t>
      </w:r>
    </w:p>
    <w:p>
      <w:pPr>
        <w:pStyle w:val="Corpsdetexte"/>
      </w:pPr>
      <w:r>
        <w:t xml:space="preserve">Figure 3.4</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w:t>
      </w:r>
    </w:p>
    <w:p>
      <w:pPr>
        <w:pStyle w:val="Corpsdetexte"/>
      </w:pPr>
      <w:r>
        <w:t xml:space="preserve">Table 3.5</w:t>
      </w:r>
      <w:r>
        <w:br w:type="textWrapping"/>
      </w:r>
      <w:r>
        <w:rPr>
          <w:i/>
        </w:rPr>
        <w:t xml:space="preserve">Angle de chaque part du diagramme circulaire représententant les données de la Table 3.3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Corpsdetexte"/>
      </w:pPr>
      <w:r>
        <w:t xml:space="preserve">Il a déjà été précisé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est nettement plus aisé de le voir dans la Figure 3.3.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Titre5"/>
      </w:pPr>
      <w:bookmarkStart w:id="50" w:name="diagramme-des-frequences-cumulees"/>
      <w:bookmarkEnd w:id="50"/>
      <w:r>
        <w:t xml:space="preserve">Diagramme des fréquences cumulées</w:t>
      </w:r>
    </w:p>
    <w:p>
      <w:pPr>
        <w:pStyle w:val="FirstParagraph"/>
      </w:pPr>
      <w:r>
        <w:t xml:space="preserve">Le diagramme des fréquences cumulées consiste à représenter les différentes valeurs que peut prendre la variable à représenter par des bâtonnets dont la hauteur varie en fonction non plus de la fréquence (absolue ou relative) mais en fonction de la fréquence</w:t>
      </w:r>
      <w:r>
        <w:t xml:space="preserve"> </w:t>
      </w:r>
      <w:r>
        <w:rPr>
          <w:b/>
        </w:rPr>
        <w:t xml:space="preserve">cumulée</w:t>
      </w:r>
      <w:r>
        <w:t xml:space="preserve"> </w:t>
      </w:r>
      <w:r>
        <w:t xml:space="preserve">associée à cette valeur. Le dernier bâton du diagramme des fréquences cumulées aura nécessairement une hauteur égale à n si l’on représente les fréquences absolues, et une auteur égale à 1 si l’on représente les fréquences relatives. Une fois encore, l’allure générale du graphique est la même, que l’on représente les fréquences absolues ou relatives sur le diagramme. En revanche, l’information donnée est un petit peu différente: dans le premier cas, on peut dénombrer le nombre de ménages dont le nombre d’enfants atteint au maximum la valeur représentée par le bâtonnet, dans le second cas, on peut déterminer le pourcentage de ménages dont le nombre d’enfants atteint au maximum la valeur représentée par le bâtonnet.</w:t>
      </w:r>
    </w:p>
    <w:p>
      <w:pPr>
        <w:pStyle w:val="Corpsdetexte"/>
      </w:pPr>
      <w:r>
        <w:t xml:space="preserve">Figure 3.5</w:t>
      </w:r>
      <w:r>
        <w:br w:type="textWrapping"/>
      </w:r>
      <w:r>
        <w:rPr>
          <w:i/>
        </w:rPr>
        <w:t xml:space="preserve">Diagramme des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cum_data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arrive que l’on parle de</w:t>
      </w:r>
      <w:r>
        <w:t xml:space="preserve"> </w:t>
      </w:r>
      <w:r>
        <w:t xml:space="preserve">“</w:t>
      </w:r>
      <w:r>
        <w:t xml:space="preserve">diagramme en escalier</w:t>
      </w:r>
      <w:r>
        <w:t xml:space="preserve">”</w:t>
      </w:r>
      <w:r>
        <w:t xml:space="preserve">, et que l’on choisisse plutôt ce mode de représentation, dans lequel un point noir indique la fréquence associée à une catégorie en particulier. L’information fournie par les diagrammes en escalier et les diagrammes des fréquences cumulées est identique.</w:t>
      </w:r>
    </w:p>
    <w:p>
      <w:pPr>
        <w:pStyle w:val="Corpsdetexte"/>
      </w:pPr>
      <w:r>
        <w:t xml:space="preserve">Figure 3.6</w:t>
      </w:r>
      <w:r>
        <w:br w:type="textWrapping"/>
      </w:r>
      <w:r>
        <w:rPr>
          <w:i/>
        </w:rPr>
        <w:t xml:space="preserve">Diagramme en escalier représentant les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itre3"/>
      </w:pPr>
      <w:bookmarkStart w:id="53" w:name="variables-quantitatives-continues"/>
      <w:bookmarkEnd w:id="53"/>
      <w:r>
        <w:t xml:space="preserve">Variables quantitatives continues</w:t>
      </w:r>
    </w:p>
    <w:p>
      <w:pPr>
        <w:pStyle w:val="Titre4"/>
      </w:pPr>
      <w:bookmarkStart w:id="54" w:name="simplification-des-donnees-1"/>
      <w:bookmarkEnd w:id="54"/>
      <w:r>
        <w:t xml:space="preserve">Simplification des données</w:t>
      </w:r>
    </w:p>
    <w:p>
      <w:pPr>
        <w:pStyle w:val="FirstParagraph"/>
      </w:pPr>
      <w:r>
        <w:t xml:space="preserve">Dans la mesure où les variables</w:t>
      </w:r>
      <w:r>
        <w:t xml:space="preserve"> </w:t>
      </w:r>
      <w:r>
        <w:rPr>
          <w:b/>
          <w:i/>
        </w:rPr>
        <w:t xml:space="preserve">continues</w:t>
      </w:r>
      <w:r>
        <w:t xml:space="preserve">, il n’est pas possible d’associer une fréquence à chaque valeur possible de la variable, similairement à ce que l’on fait pour des variables discrètes. On procédera alors à des regroupements des valeurs en classes (d’amplitude à déterminer), et on déterminera les fréquences associées à ces classes.</w:t>
      </w:r>
    </w:p>
    <w:p>
      <w:pPr>
        <w:pStyle w:val="Corpsdetexte"/>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Corpsdetexte"/>
      </w:pPr>
      <w:r>
        <w:t xml:space="preserve">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âge adulte et troisième âge, on pourra créer 5 classes: une regroupant les individus de 0 à 3 ans, de ceux de 3 à 12 ans , de 12 à 18 ans, 18 à 65 ans et de plus de 65 ans (voir la Table 3.8).</w:t>
      </w:r>
    </w:p>
    <w:p>
      <w:pPr>
        <w:pStyle w:val="Corpsdetexte"/>
      </w:pPr>
      <w:r>
        <w:t xml:space="preserve">Enfin, le</w:t>
      </w:r>
      <w:r>
        <w:t xml:space="preserve"> </w:t>
      </w:r>
      <w:r>
        <w:rPr>
          <w:b/>
        </w:rPr>
        <w:t xml:space="preserve">centre de classe</w:t>
      </w:r>
      <w:r>
        <w:t xml:space="preserve"> </w:t>
      </w:r>
      <w:r>
        <w:t xml:space="preserve">est la valeur qui se trouve à égale distance de la borne inférieure et de la borne supérieure d’une classe. Connaître cette valeur servira à estimer les</w:t>
      </w:r>
      <w:r>
        <w:t xml:space="preserve"> </w:t>
      </w:r>
      <w:r>
        <w:rPr>
          <w:b/>
        </w:rPr>
        <w:t xml:space="preserve">quantiles</w:t>
      </w:r>
      <w:r>
        <w:t xml:space="preserve"> </w:t>
      </w:r>
      <w:r>
        <w:t xml:space="preserve">de variables continues (ce concept sera très prochainement expliqué).</w:t>
      </w:r>
    </w:p>
    <w:p>
      <w:pPr>
        <w:pStyle w:val="Corpsdetexte"/>
      </w:pPr>
      <w:r>
        <w:t xml:space="preserve">Table 3.6</w:t>
      </w:r>
      <w:r>
        <w:br w:type="textWrapping"/>
      </w:r>
      <w:r>
        <w:rPr>
          <w:i/>
        </w:rPr>
        <w:t xml:space="preserve">Table des PIB par habitants de 45 pays d’Europe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 de 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10000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30000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50000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70000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90000</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110000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Corpsdetexte"/>
      </w:pPr>
      <w:r>
        <w:t xml:space="preserve">Source:</w:t>
      </w:r>
      <w:r>
        <w:t xml:space="preserve"> </w:t>
      </w:r>
      <w:hyperlink r:id="rId55">
        <w:r>
          <w:rPr>
            <w:rStyle w:val="Lienhypertexte"/>
          </w:rPr>
          <w:t xml:space="preserve">https://fr.tradingeconomics.com/country-list/gdp-per-capitaécontinent=europe</w:t>
        </w:r>
      </w:hyperlink>
    </w:p>
    <w:p>
      <w:pPr>
        <w:pStyle w:val="Corpsdetexte"/>
      </w:pPr>
      <w:r>
        <w:t xml:space="preserve">Table 3.7</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5</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15</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25</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35</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45</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55</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65</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75</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85</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95</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105</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Corpsdetexte"/>
      </w:pPr>
      <w:r>
        <w:t xml:space="preserve">Table 3.8</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1.5</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7.5</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15.0</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41.5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87.5</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Titre4"/>
      </w:pPr>
      <w:bookmarkStart w:id="56" w:name="realisation-graphique-1"/>
      <w:bookmarkEnd w:id="56"/>
      <w:r>
        <w:t xml:space="preserve">Réalisation graphique</w:t>
      </w:r>
    </w:p>
    <w:p>
      <w:pPr>
        <w:pStyle w:val="Titre5"/>
      </w:pPr>
      <w:bookmarkStart w:id="57" w:name="histogramme"/>
      <w:bookmarkEnd w:id="57"/>
      <w:r>
        <w:t xml:space="preserve">Histogramme</w:t>
      </w:r>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Corpsdetexte"/>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3.3 ainsi que dans la Figure 3.8 .</w:t>
      </w:r>
    </w:p>
    <w:p>
      <w:pPr>
        <w:pStyle w:val="Corpsdetexte"/>
      </w:pPr>
      <w:r>
        <w:t xml:space="preserve">Figure 3.7</w:t>
      </w:r>
      <w:r>
        <w:br w:type="textWrapping"/>
      </w:r>
      <w:r>
        <w:rPr>
          <w:i/>
        </w:rPr>
        <w:t xml:space="preserve">Histogramme de la distribution de la Table 3.6</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3.8</w:t>
      </w:r>
      <w:r>
        <w:br w:type="textWrapping"/>
      </w:r>
      <w:r>
        <w:rPr>
          <w:i/>
        </w:rPr>
        <w:t xml:space="preserve">Histogramme de la distribution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Corpsdetexte"/>
      </w:pPr>
      <m:oMath>
        <m:sSub>
          <m:e>
            <m:r>
              <m:t>h</m:t>
            </m:r>
          </m:e>
          <m:sub>
            <m:r>
              <m:t>i</m:t>
            </m:r>
          </m:sub>
        </m:sSub>
        <m:r>
          <m:t>=</m:t>
        </m:r>
        <m:f>
          <m:fPr>
            <m:type m:val="bar"/>
          </m:fPr>
          <m:num>
            <m:sSub>
              <m:e>
                <m:r>
                  <m:t>n</m:t>
                </m:r>
              </m:e>
              <m:sub>
                <m:r>
                  <m:t>i</m:t>
                </m:r>
              </m:sub>
            </m:sSub>
          </m:num>
          <m:den>
            <m:sSub>
              <m:e>
                <m:r>
                  <m:t>a</m:t>
                </m:r>
              </m:e>
              <m:sub>
                <m:r>
                  <m:t>i</m:t>
                </m:r>
              </m:sub>
            </m:sSub>
          </m:den>
        </m:f>
      </m:oMath>
    </w:p>
    <w:p>
      <w:pPr>
        <w:pStyle w:val="Corpsdetexte"/>
      </w:pPr>
      <w:r>
        <w:t xml:space="preserve">Figure 3.9</w:t>
      </w:r>
      <w:r>
        <w:t xml:space="preserve"> </w:t>
      </w:r>
      <w:r>
        <w:rPr>
          <w:i/>
        </w:rPr>
        <w:t xml:space="preserve">Histogramme de la distribution de la Table 3.8</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les données sont continues, cela signifie que toutes les valeurs de la variable représentée sont considérées comme possibles. Par exemple, le premier rectangle de la Figure 3.8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w:t>
      </w:r>
      <w:r>
        <w:t xml:space="preserve"> </w:t>
      </w:r>
      <w:r>
        <w:rPr>
          <w:b/>
        </w:rPr>
        <w:t xml:space="preserve">polygone des effectifs</w:t>
      </w:r>
      <w:r>
        <w:t xml:space="preserve">, en reliant par des segments de droite le centre du côté supérieur de chaque rectangle.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PIB-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3.12</w:t>
      </w:r>
      <w:r>
        <w:br w:type="textWrapping"/>
      </w:r>
      <w:r>
        <w:rPr>
          <w:i/>
        </w:rPr>
        <w:t xml:space="preserve">Histogramme de la distribution de la Table 3.7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Agea-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63" w:name="histogramme-des-effectifs-ou-frequences-cumulees"/>
      <w:bookmarkEnd w:id="63"/>
      <w:r>
        <w:t xml:space="preserve">Histogramme des effectifs (ou fréquences) cumulé(e)s</w:t>
      </w:r>
    </w:p>
    <w:p>
      <w:pPr>
        <w:pStyle w:val="FirstParagraph"/>
      </w:pPr>
      <w:r>
        <w:t xml:space="preserve">Les histogrammes des effectifs (ou fréquences) cumulées ressemblent aux diagrammes des fréquences cumulées, si ce n’est que cette fois, les différents bâtons sont collés les uns aux autres pour rendre compte du caractère continu de la variable.</w:t>
      </w:r>
    </w:p>
    <w:p>
      <w:pPr>
        <w:pStyle w:val="Corpsdetexte"/>
      </w:pPr>
      <w:r>
        <w:t xml:space="preserve">De même que pour les histogrammes vu dans la section précédente, il est possible de tracer le polygone des effectifs (ou fréquences) cumulé(e)s pour mieux rendre compte du caractère continu de la variable.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cumpolygon_PIB-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Titre4"/>
      </w:pPr>
      <w:bookmarkStart w:id="65" w:name="remarque-les-distributions"/>
      <w:bookmarkEnd w:id="65"/>
      <w:r>
        <w:t xml:space="preserve">Remarque: les distributions</w:t>
      </w:r>
    </w:p>
    <w:p>
      <w:pPr>
        <w:pStyle w:val="FirstParagraph"/>
      </w:pPr>
      <w:r>
        <w:t xml:space="preserve">Il a été brièvement mentionné que lorsque le nombre de classe augmente (ce qui revient à dire que l’amplitude de chaque classe diminue), l’allure générale des données se dessine avec plus de précision. Cela est illustré dans la Figure 3.11, où les mêmes données sont représentées à l’aide de trois histogrammes, dont le nombre de classes varie (11 classes dans l’histogramme de gauche,55 classes dans l’histogramme du milieu et 1.1</w:t>
      </w:r>
      <w:r>
        <w:t xml:space="preserve">10^{5} classes dans l’histogramme de droite). Au fur et à mesure que le nombre de classes augmentent, l’allure de l’histogramme se rapproche d’une courbe, jusqu’à se lisser parfaitement. Cette courbe lisse représente ce qu’on appelle la distribution des données.</w:t>
      </w:r>
    </w:p>
    <w:p>
      <w:pPr>
        <w:pStyle w:val="Corpsdetexte"/>
      </w:pPr>
      <w:r>
        <w:t xml:space="preserve">Figure 3.11</w:t>
      </w:r>
      <w:r>
        <w:br w:type="textWrapping"/>
      </w:r>
      <w:r>
        <w:rPr>
          <w:i/>
        </w:rPr>
        <w:t xml:space="preserve">De l’histogramme vers la distribution de données</w:t>
      </w:r>
      <w:r>
        <w:t xml:space="preserve"> </w:t>
      </w:r>
      <w:r>
        <w:drawing>
          <wp:inline>
            <wp:extent cx="4620126" cy="3696101"/>
            <wp:effectExtent b="0" l="0" r="0" t="0"/>
            <wp:docPr descr="" title="" id="1" name="Picture"/>
            <a:graphic>
              <a:graphicData uri="http://schemas.openxmlformats.org/drawingml/2006/picture">
                <pic:pic>
                  <pic:nvPicPr>
                    <pic:cNvPr descr="Syll_files/figure-docx/Figuredistribution-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Titre2"/>
      </w:pPr>
      <w:bookmarkStart w:id="67" w:name="les-graphiques-construits-sur-base-des-quantiles"/>
      <w:bookmarkEnd w:id="67"/>
      <w:r>
        <w:t xml:space="preserve">Les graphiques construits sur base des quantiles</w:t>
      </w:r>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aux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Corpsdetexte"/>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Corpsdetexte"/>
      </w:pPr>
      <w:r>
        <w:t xml:space="preserve">Bien que le principe soit identique quel que soit le quantile envisagé, nous ne développerons que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Titre3"/>
      </w:pPr>
      <w:bookmarkStart w:id="68" w:name="variables-quantitatives-discretes-1"/>
      <w:bookmarkEnd w:id="68"/>
      <w:r>
        <w:t xml:space="preserve">Variables quantitatives discrètes</w:t>
      </w:r>
    </w:p>
    <w:p>
      <w:pPr>
        <w:pStyle w:val="Titre4"/>
      </w:pPr>
      <w:bookmarkStart w:id="69" w:name="simplification-des-donnees-calcul-de-la-mediane-et-des-quartiles"/>
      <w:bookmarkEnd w:id="69"/>
      <w:r>
        <w:t xml:space="preserve">Simplification des données: calcul de la médiane et des quartiles</w:t>
      </w:r>
    </w:p>
    <w:p>
      <w:pPr>
        <w:pStyle w:val="Titre5"/>
      </w:pPr>
      <w:bookmarkStart w:id="70" w:name="au-depart-de-donnees-brutes"/>
      <w:bookmarkEnd w:id="70"/>
      <w:r>
        <w:t xml:space="preserve">Au départ de données brutes</w:t>
      </w:r>
    </w:p>
    <w:p>
      <w:pPr>
        <w:pStyle w:val="FirstParagraph"/>
      </w:pPr>
      <w:r>
        <w:t xml:space="preserve">Soit une série statistique contenant un nombre impair de sujets (n=9):</w:t>
      </w:r>
    </w:p>
    <w:p>
      <w:pPr>
        <w:pStyle w:val="Corpsdetexte"/>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va consister à déterminer une valeur telle qu’il y ait la moitié des observations de la série dont la valeur lui est inférieure, et l’autre moitié dont la valeur lui est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Corpsdetexte"/>
      </w:pPr>
      <w:r>
        <w:t xml:space="preserve">Voici la série ordonnée:</w:t>
      </w:r>
    </w:p>
    <w:p>
      <w:pPr>
        <w:pStyle w:val="Corpsdetexte"/>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Corpsdetexte"/>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Corpsdetexte"/>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Corpsdetexte"/>
      </w:pPr>
      <w:r>
        <w:t xml:space="preserve">Soit une autre série statistique, contenant cette fois un nombre pair de sujets (n=10):</w:t>
      </w:r>
    </w:p>
    <w:p>
      <w:pPr>
        <w:pStyle w:val="Corpsdetexte"/>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Corpsdetexte"/>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p>
    <w:p>
      <w:pPr>
        <w:pStyle w:val="Corpsdetexte"/>
      </w:pP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Corpsdetexte"/>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r>
        <w:br w:type="textWrapping"/>
      </w:r>
      <w:r>
        <w:t xml:space="preserve">Dans ce cas, étant donné que le rang médian vaut 5.5, la médiane sera la moyenne entre 8 et 8, soit 8.</w:t>
      </w:r>
    </w:p>
    <w:p>
      <w:pPr>
        <w:pStyle w:val="Corpsdetexte"/>
      </w:pPr>
      <w:r>
        <w:t xml:space="preserve">La valeur du premier quartile d’une série sera celle qui est telle que si l’on s’intéresse exclusivemenet aux valeurs à gauche de la médiane, la moitié des observations sélectionnées lui est inférieure et l’autre moitié lui est supérieure. Similairement, la valeur du troisième quartile sera celle qui est telle que si l’on s’intéresse exclusivement aux valeurs à droite de la médiane, la moitié des observations sélectionnées lui est inférieure et l’autre moitié lui est supérieure.</w:t>
      </w:r>
    </w:p>
    <w:p>
      <w:pPr>
        <w:pStyle w:val="Corpsdetexte"/>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Corpsdetexte"/>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Corpsdetexte"/>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Titre5"/>
      </w:pPr>
      <w:bookmarkStart w:id="71" w:name="au-depart-de-tableaux-de-frequences"/>
      <w:bookmarkEnd w:id="71"/>
      <w:r>
        <w:t xml:space="preserve">Au départ de tableaux de fréquences</w:t>
      </w:r>
    </w:p>
    <w:p>
      <w:pPr>
        <w:pStyle w:val="FirstParagraph"/>
      </w:pPr>
      <w:r>
        <w:t xml:space="preserve">La Table 3.11 est le tableau de fréquence des données de la série 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Corpsdetexte"/>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w:t>
      </w:r>
    </w:p>
    <w:p>
      <w:pPr>
        <w:pStyle w:val="Corpsdetexte"/>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3.13 est le tableau de fréquence des données de la série 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Corpsdetexte"/>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3.12 est le tableau de fréquence des données de la série 2.</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de la valeur que nous avions trouvé.</w:t>
      </w:r>
    </w:p>
    <w:p>
      <w:pPr>
        <w:pStyle w:val="Corpsdetexte"/>
      </w:pPr>
      <w:r>
        <w:t xml:space="preserve">La valeur des premier et troisième quartiles correspondent aux premières lignes de fréquences cumulées qui dépassent respectivement .25 et .75, soit 6 et 13.</w:t>
      </w:r>
    </w:p>
    <w:p>
      <w:pPr>
        <w:pStyle w:val="Titre4"/>
      </w:pPr>
      <w:bookmarkStart w:id="72" w:name="realisation-graphique-le-boxplot-appelee-egalement-boite-a-moustaches"/>
      <w:bookmarkEnd w:id="72"/>
      <w:r>
        <w:t xml:space="preserve">Réalisation graphique: le boxplot (appelée également</w:t>
      </w:r>
      <w:r>
        <w:t xml:space="preserve"> </w:t>
      </w:r>
      <w:r>
        <w:t xml:space="preserve">“</w:t>
      </w:r>
      <w:r>
        <w:t xml:space="preserve">boîte à moustaches</w:t>
      </w:r>
      <w:r>
        <w:t xml:space="preserve">”</w:t>
      </w:r>
      <w:r>
        <w:t xml:space="preserve">)</w:t>
      </w:r>
    </w:p>
    <w:p>
      <w:pPr>
        <w:pStyle w:val="FirstParagraph"/>
      </w:pPr>
      <w:r>
        <w:t xml:space="preserve">Table 3.14</w:t>
      </w:r>
      <w:r>
        <w:br w:type="textWrapping"/>
      </w:r>
      <w:r>
        <w:rPr>
          <w:i/>
        </w:rPr>
        <w:t xml:space="preserve">Tableau de fréquence d’une série de données discrètes</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Corpsdetexte"/>
      </w:pPr>
      <w:r>
        <w:t xml:space="preserve">La Figure 3.14 est une représentation graphique des données de la Table 3.14.</w:t>
      </w:r>
    </w:p>
    <w:p>
      <w:pPr>
        <w:pStyle w:val="Corpsdetexte"/>
      </w:pPr>
      <w:r>
        <w:t xml:space="preserve">Figure 3.14</w:t>
      </w:r>
      <w:r>
        <w:br w:type="textWrapping"/>
      </w:r>
      <w:r>
        <w:rPr>
          <w:i/>
        </w:rPr>
        <w:t xml:space="preserve">Boîte à moustache représentant les données de la Table 3.14</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Corpsdetexte"/>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 L’écart inter-quartile est une mesure de dispersion. Ce type de mesure sera décrit ultérieurement.</w:t>
      </w:r>
    </w:p>
    <w:p>
      <w:pPr>
        <w:pStyle w:val="Corpsdetexte"/>
      </w:pPr>
      <w:r>
        <w:t xml:space="preserve">La barre à l’intérieur de la boîte représente la</w:t>
      </w:r>
      <w:r>
        <w:t xml:space="preserve"> </w:t>
      </w:r>
      <w:r>
        <w:rPr>
          <w:b/>
        </w:rPr>
        <w:t xml:space="preserve">médiane</w:t>
      </w:r>
      <w:r>
        <w:t xml:space="preserve"> </w:t>
      </w:r>
      <w:r>
        <w:t xml:space="preserve">(valant 5 dans l’exemple de la Table 3.14). La position de la médiane à l’intérieur de la boîte indique le degré de symétrie ou d’asymétrie de la portion centrale de la distribution.</w:t>
      </w:r>
    </w:p>
    <w:p>
      <w:pPr>
        <w:pStyle w:val="Corpsdetexte"/>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Corpsdetexte"/>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casde l’âge d’un individu ayant 51 ans, dans une étude consacrée à des adolescents.</w:t>
      </w:r>
    </w:p>
    <w:p>
      <w:pPr>
        <w:pStyle w:val="Corpsdetexte"/>
      </w:pPr>
      <w:r>
        <w:t xml:space="preserve">Le boxplot a pour avantage de permettre de détecter très rapidement ces valeurs extrêmes. Par ailleurs, elle permet de se représenter mentalement l’allure de la distribution: est-elle symétrique ou asymétrique?</w:t>
      </w:r>
    </w:p>
    <w:p>
      <w:pPr>
        <w:pStyle w:val="Titre3"/>
      </w:pPr>
      <w:bookmarkStart w:id="74" w:name="variables-quantitatives-continues-1"/>
      <w:bookmarkEnd w:id="74"/>
      <w:r>
        <w:t xml:space="preserve">Variables quantitatives continues</w:t>
      </w:r>
    </w:p>
    <w:p>
      <w:pPr>
        <w:pStyle w:val="Titre4"/>
      </w:pPr>
      <w:bookmarkStart w:id="75" w:name="simplification-des-donnees-calcul-de-la-mediane-et-des-quartiles-1"/>
      <w:bookmarkEnd w:id="75"/>
      <w:r>
        <w:t xml:space="preserve">Simplification des données: calcul de la médiane et des quartiles</w:t>
      </w:r>
    </w:p>
    <w:p>
      <w:pPr>
        <w:pStyle w:val="Titre5"/>
      </w:pPr>
      <w:bookmarkStart w:id="76" w:name="au-depart-de-donnees-brutes-1"/>
      <w:bookmarkEnd w:id="76"/>
      <w:r>
        <w:t xml:space="preserve">Au départ de données brutes</w:t>
      </w:r>
    </w:p>
    <w:p>
      <w:pPr>
        <w:pStyle w:val="FirstParagraph"/>
      </w:pPr>
      <w:r>
        <w:t xml:space="preserve">Lorsque les données brutes sont fournies, le calcul de la médiane se réalise exactement de la même manière que pour les données quantitatives discrètes. Je vous renvoie donc à la section antérieure sur les variables quantitatives discrètes.</w:t>
      </w:r>
    </w:p>
    <w:p>
      <w:pPr>
        <w:pStyle w:val="Titre5"/>
      </w:pPr>
      <w:bookmarkStart w:id="77" w:name="au-depart-de-tableaux-de-frequences-1"/>
      <w:bookmarkEnd w:id="77"/>
      <w:r>
        <w:t xml:space="preserve">Au départ de tableaux de fréquences</w:t>
      </w:r>
    </w:p>
    <w:p>
      <w:pPr>
        <w:pStyle w:val="FirstParagraph"/>
      </w:pPr>
      <w: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w:t>
      </w:r>
      <w:r>
        <w:t xml:space="preserve"> </w:t>
      </w:r>
      <w:r>
        <w:rPr>
          <w:b/>
        </w:rPr>
        <w:t xml:space="preserve">polygone des effectifs</w:t>
      </w:r>
      <w:r>
        <w:t xml:space="preserve">.</w:t>
      </w:r>
    </w:p>
    <w:p>
      <w:pPr>
        <w:pStyle w:val="Corpsdetexte"/>
      </w:pPr>
      <w:r>
        <w:t xml:space="preserve">Revenons une fois encore à l’exemple du PIB de la Table 3.6 dont je reproduis ci-dessous le polygone des effectifs cumulés, pour votre convénience.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cumpolygon_PIB2-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fréquence cumulée de la valeur 10000 vaut 44.44 (soit une valeur inférieure à .5 ou 50%). La fréquence cumulée de la valeur 30000 vaut 20 (soit une valeur supérieure à .5 ou 50%). Je sais donc que la valeur de la médiane se situera entre 10^{4} et 3</w:t>
      </w:r>
      <w:r>
        <w:t xml:space="preserve">10^{4}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pPr>
        <w:pStyle w:val="Corpsdetexte"/>
      </w:pPr>
      <w:r>
        <w:t xml:space="preserve">Il y a une distance de 5.56 unités entre 50% et 44.44%. Par règle de trois, on en déduit que cela correspond à une distance de</w:t>
      </w:r>
      <w:r>
        <w:t xml:space="preserve"> </w:t>
      </w:r>
      <m:oMath>
        <m:f>
          <m:fPr>
            <m:type m:val="bar"/>
          </m:fPr>
          <m:num>
            <m:r>
              <m:t>20000</m:t>
            </m:r>
          </m:num>
          <m:den>
            <m:r>
              <m:t>20</m:t>
            </m:r>
          </m:den>
        </m:f>
        <m:r>
          <m:t>×</m:t>
        </m:r>
        <m:r>
          <m:t>5.56</m:t>
        </m:r>
        <m:r>
          <m:t>=</m:t>
        </m:r>
        <m:r>
          <m:t>5560</m:t>
        </m:r>
      </m:oMath>
      <w:r>
        <w:t xml:space="preserve"> </w:t>
      </w:r>
      <w:r>
        <w:t xml:space="preserve">sur l’axe des x. Par conséquent, la médiane sera estimée à 10000+5560 = 15560.</w:t>
      </w:r>
    </w:p>
    <w:p>
      <w:pPr>
        <w:pStyle w:val="Corpsdetexte"/>
      </w:pPr>
      <w:r>
        <w:t xml:space="preserve">En suivant un raisonnement identique, l’on estime les valeurs du premier et troisième quartile… A FAIRE!</w:t>
      </w:r>
    </w:p>
    <w:p>
      <w:pPr>
        <w:pStyle w:val="Titre4"/>
      </w:pPr>
      <w:bookmarkStart w:id="79" w:name="realisation-graphique-le-boxplot"/>
      <w:bookmarkEnd w:id="79"/>
      <w:r>
        <w:t xml:space="preserve">Réalisation graphique: le boxplot</w:t>
      </w:r>
    </w:p>
    <w:p>
      <w:pPr>
        <w:pStyle w:val="FirstParagraph"/>
      </w:pPr>
      <w:r>
        <w:t xml:space="preserve">A nouveau, le boxplot se déroulement de manière identique à ce qui a été vu dans le chapitre sur les variables quantitatives discrètes. Seule la manière de déterminer la médiane ainsi que les premier et troisième quartile diffère.</w:t>
      </w:r>
    </w:p>
    <w:p>
      <w:pPr>
        <w:pStyle w:val="Titre6"/>
      </w:pPr>
      <w:bookmarkStart w:id="80" w:name="pagebreak-5"/>
      <w:bookmarkEnd w:id="80"/>
      <w:r>
        <w:t xml:space="preserve">Pagebreak</w:t>
      </w:r>
    </w:p>
    <w:p>
      <w:pPr>
        <w:pStyle w:val="Titre1"/>
      </w:pPr>
      <w:bookmarkStart w:id="81" w:name="chapitre-4-exploration-algebrique-des-donnees-a-une-dimension"/>
      <w:bookmarkEnd w:id="81"/>
      <w:r>
        <w:t xml:space="preserve">Chapitre 4: exploration algébrique des données à une dimension</w:t>
      </w:r>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1"/>
          <w:ilvl w:val="0"/>
        </w:numPr>
      </w:pPr>
      <w:r>
        <w:t xml:space="preserve">Les mesures de</w:t>
      </w:r>
      <w:r>
        <w:t xml:space="preserve"> </w:t>
      </w:r>
      <w:r>
        <w:rPr>
          <w:b/>
        </w:rPr>
        <w:t xml:space="preserve">tendance centrale</w:t>
      </w:r>
      <w:r>
        <w:t xml:space="preserve">:mesure qui permet de représenter au mieux un ensemble données par une valeur unique</w:t>
      </w:r>
    </w:p>
    <w:p>
      <w:pPr>
        <w:pStyle w:val="Compact"/>
        <w:numPr>
          <w:numId w:val="1011"/>
          <w:ilvl w:val="0"/>
        </w:numPr>
      </w:pPr>
      <w:r>
        <w:t xml:space="preserve">Les mesures de</w:t>
      </w:r>
      <w:r>
        <w:t xml:space="preserve"> </w:t>
      </w:r>
      <w:r>
        <w:rPr>
          <w:b/>
        </w:rPr>
        <w:t xml:space="preserve">dispersion</w:t>
      </w:r>
      <w:r>
        <w:t xml:space="preserve">: mesure du degré auquel les données s’éloignent de la tendance centrale</w:t>
      </w:r>
    </w:p>
    <w:p>
      <w:pPr>
        <w:pStyle w:val="Compact"/>
        <w:numPr>
          <w:numId w:val="1011"/>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Titre2"/>
      </w:pPr>
      <w:bookmarkStart w:id="82" w:name="mesures-de-tendance-centrale"/>
      <w:bookmarkEnd w:id="82"/>
      <w:r>
        <w:t xml:space="preserve">Mesures de tendance centrale</w:t>
      </w:r>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Corpsdetexte"/>
      </w:pPr>
      <w:r>
        <w:t xml:space="preserve">Table 4.1</w:t>
      </w:r>
      <w:r>
        <w:br w:type="textWrapping"/>
      </w:r>
      <w:r>
        <w:rPr>
          <w:i/>
        </w:rPr>
        <w:t xml:space="preserve">Extrait de la Table 1.1 : ancienneté de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Corpsdetexte"/>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prenre la variable Y).</w:t>
      </w:r>
    </w:p>
    <w:p>
      <w:pPr>
        <w:pStyle w:val="Titre3"/>
      </w:pPr>
      <w:bookmarkStart w:id="83" w:name="mode"/>
      <w:bookmarkEnd w:id="83"/>
      <w:r>
        <w:t xml:space="preserve">Mode</w:t>
      </w:r>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Corpsdetexte"/>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Corpsdetexte"/>
      </w:pPr>
      <w:r>
        <w:t xml:space="preserve">Table 4.2</w:t>
      </w:r>
      <w:r>
        <w:br w:type="textWrapping"/>
      </w:r>
      <w:r>
        <w:rPr>
          <w:i/>
        </w:rPr>
        <w:t xml:space="preserve">Extrait de la Table 1.1 : âge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Corpsdetexte"/>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Ca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Titre3"/>
      </w:pPr>
      <w:bookmarkStart w:id="84" w:name="moyenne"/>
      <w:bookmarkEnd w:id="84"/>
      <w:r>
        <w:t xml:space="preserve">Moyenne</w:t>
      </w:r>
    </w:p>
    <w:p>
      <w:pPr>
        <w:pStyle w:val="FirstParagraph"/>
      </w:pPr>
      <w:r>
        <w:t xml:space="preserve">Lorsqu’on parle de moyenne statistique, on entend toujours (à notre niveau) la moyenne arithmétique. Si l’on part des données brutes, la moyenne arithmétique peut se calculer en prenant la somme des valeurs de la variable dont on veut calculer la moyenne, et en divisant cette somme par le nombre de valeurs qui constituent cette somme.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Corpsdetexte"/>
      </w:pPr>
      <w:r>
        <w:rPr>
          <w:b/>
        </w:rPr>
        <w:t xml:space="preserve">Formule de la moyenne arithmétique calculée à partir des données brutes de l’ancienneté</w:t>
      </w:r>
      <w:r>
        <w:rPr>
          <w:b/>
        </w:rPr>
        <w:t xml:space="preserve"> </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Corpsdetexte"/>
      </w:pPr>
      <w:r>
        <w:rPr>
          <w:b/>
        </w:rPr>
        <w:t xml:space="preserve">Formule de la moyenne arithmétique calculée à partir d’un tableau de fréquence</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Appliquées à l’ancienneté fournie dans la table Table 4.1, on obtient ceci:</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Corpsdetexte"/>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et heureusement!Il s’agit de trois manières différentes de calculer la même chose.</w:t>
      </w:r>
    </w:p>
    <w:p>
      <w:pPr>
        <w:pStyle w:val="Corpsdetexte"/>
      </w:pPr>
      <w:r>
        <w:t xml:space="preserve">La moyenne présente plusieurs inconvénients.</w:t>
      </w:r>
    </w:p>
    <w:p>
      <w:pPr>
        <w:pStyle w:val="Corpsdetexte"/>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Corpsdetexte"/>
      </w:pPr>
      <w:r>
        <w:t xml:space="preserve">Deuxièmement, si l’on travaille avec des distributions asymétriques ou multimodales, la moyenne ne les représentera pas correctement.Imaginons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Corpsdetexte"/>
      </w:pPr>
      <w:r>
        <w:t xml:space="preserve">Nous voyons bien à quel point il est important d’étudier la forme d’une distribution avant de déterminer des valeurs algébriques.</w:t>
      </w:r>
    </w:p>
    <w:p>
      <w:pPr>
        <w:pStyle w:val="Titre2"/>
      </w:pPr>
      <w:bookmarkStart w:id="85" w:name="mesures-de-dispersion"/>
      <w:bookmarkEnd w:id="85"/>
      <w:r>
        <w:t xml:space="preserve">Mesures de dispersion</w:t>
      </w:r>
    </w:p>
    <w:p>
      <w:pPr>
        <w:pStyle w:val="FirstParagraph"/>
      </w:pPr>
      <w:r>
        <w:t xml:space="preserve">Une mesure de dispersion sert à quantifier à quel points les données ont tendance à s’étaler, se disperser autour de la tendance centrale. Ces mesures sont importantes car la mesure de tendance centrale résumera d’autant mieux les données que la dispersion des données autour de celle-ci sera faible.</w:t>
      </w:r>
    </w:p>
    <w:p>
      <w:pPr>
        <w:pStyle w:val="Corpsdetexte"/>
      </w:pPr>
      <w:r>
        <w:t xml:space="preserve">Pour l’illustrer, considérons les deux séries suivantes qui représentent (fictivement) les notes (sur 10) obtenues par 10 étudiants en mathématiques et en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Je vous laisse le soin de calculer la moyenne de ces deux séries et de constater que dans les deux cours, elle vaut exactement 6. Par contre, la dispersion des données autour de cette tendance centrale n’est pas la même pour les deux cours.</w:t>
      </w:r>
    </w:p>
    <w:p>
      <w:pPr>
        <w:pStyle w:val="Corpsdetexte"/>
      </w:pPr>
      <w:r>
        <w:t xml:space="preserve">Dans la Figure 4.1, les notes de chaque cours sont représentées. La ligne horizontale représente la moyenne. Les points au dessus de la ligne horizontale sont les notes supérieures à la moyenne et les points en dessous de cette ligne sont les notes inférieures à la moyenne. On observe graphiquement que les notes s’éloignent plus de la moyenne pour le cours de mathématiques que pour le cours de français. Cela se confirme algébriquement: en français, les notes s’éloignent au maximum de 1points de la moyenne alors qu’en mathématiques, les notes peuvent s’éloigner jusqu’à 2.5points de la moyenne. Autrement dit, la dispersion des notes est plus forte pour le cours de mathématiques que pour le cours de français.</w:t>
      </w:r>
    </w:p>
    <w:p>
      <w:pPr>
        <w:pStyle w:val="Corpsdetexte"/>
      </w:pPr>
      <w:r>
        <w:t xml:space="preserve">Figure 4.1</w:t>
      </w:r>
      <w:r>
        <w:br w:type="textWrapping"/>
      </w:r>
      <w:r>
        <w:rPr>
          <w:i/>
        </w:rPr>
        <w:t xml:space="preserve">Etalement des notes de la Table 4.3 autour de la moyenne (6)</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39-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Quantifier la dispersion des données peut se faire de plusieurs manières plus ou moins sophistiquées. Nous en ciblerons quatre:</w:t>
      </w:r>
      <w:r>
        <w:br w:type="textWrapping"/>
      </w:r>
      <w:r>
        <w:rPr>
          <w:i/>
        </w:rPr>
        <w:t xml:space="preserve">L’étendue</w:t>
      </w:r>
      <w:r>
        <w:rPr>
          <w:i/>
        </w:rPr>
        <w:t xml:space="preserve"> </w:t>
      </w:r>
      <w:r>
        <w:t xml:space="preserve">L’écart interquartile</w:t>
      </w:r>
      <w:r>
        <w:t xml:space="preserve"> </w:t>
      </w:r>
      <w:r>
        <w:rPr>
          <w:i/>
        </w:rPr>
        <w:t xml:space="preserve">L’écart moyen absolu</w:t>
      </w:r>
      <w:r>
        <w:rPr>
          <w:i/>
        </w:rPr>
        <w:t xml:space="preserve"> </w:t>
      </w:r>
      <w:r>
        <w:t xml:space="preserve">La variance et l’écart-type</w:t>
      </w:r>
    </w:p>
    <w:p>
      <w:pPr>
        <w:pStyle w:val="Titre3"/>
      </w:pPr>
      <w:bookmarkStart w:id="87" w:name="etendue"/>
      <w:bookmarkEnd w:id="87"/>
      <w:r>
        <w:t xml:space="preserve">Etendue</w:t>
      </w:r>
    </w:p>
    <w:p>
      <w:pPr>
        <w:pStyle w:val="FirstParagraph"/>
      </w:pPr>
      <w:r>
        <w:t xml:space="preserve">L’étendue est une mesure très élémentaire qui consiste à mesurer la différence entre la plus grande et la plus petite des valeurs observées.</w:t>
      </w:r>
    </w:p>
    <w:p>
      <w:pPr>
        <w:pStyle w:val="Corpsdetexte"/>
      </w:pPr>
      <m:oMathPara>
        <m:oMathParaPr>
          <m:jc m:val="center"/>
        </m:oMathParaPr>
        <m:oMath>
          <m:r>
            <m:t>e</m:t>
          </m:r>
          <m:r>
            <m:t>t</m:t>
          </m:r>
          <m:r>
            <m:t>e</m:t>
          </m:r>
          <m:r>
            <m:t>n</m:t>
          </m:r>
          <m:r>
            <m:t>d</m:t>
          </m:r>
          <m:r>
            <m:t>u</m:t>
          </m:r>
          <m:r>
            <m:t>e</m:t>
          </m:r>
          <m:r>
            <m:t>=</m:t>
          </m:r>
          <m:r>
            <m:t>m</m:t>
          </m:r>
          <m:r>
            <m:t>a</m:t>
          </m:r>
          <m:r>
            <m:t>x</m:t>
          </m:r>
          <m:r>
            <m:t>(</m:t>
          </m:r>
          <m:sSub>
            <m:e>
              <m:r>
                <m:t>X</m:t>
              </m:r>
            </m:e>
            <m:sub>
              <m:r>
                <m:t>i</m:t>
              </m:r>
            </m:sub>
          </m:sSub>
          <m:r>
            <m:t>)</m:t>
          </m:r>
          <m:r>
            <m:t>−</m:t>
          </m:r>
          <m:r>
            <m:t>m</m:t>
          </m:r>
          <m:r>
            <m:t>i</m:t>
          </m:r>
          <m:r>
            <m:t>n</m:t>
          </m:r>
          <m:r>
            <m:t>(</m:t>
          </m:r>
          <m:sSub>
            <m:e>
              <m:r>
                <m:t>X</m:t>
              </m:r>
            </m:e>
            <m:sub>
              <m:r>
                <m:t>i</m:t>
              </m:r>
            </m:sub>
          </m:sSub>
          <m:r>
            <m:t>)</m:t>
          </m:r>
        </m:oMath>
      </m:oMathPara>
    </w:p>
    <w:p>
      <w:pPr>
        <w:pStyle w:val="FirstParagraph"/>
      </w:pPr>
      <w:r>
        <w:t xml:space="preserve">Dans l’exemple des notes de cours de la Table 4.3, on trouve que l’étendue des notes en français vaut 2.5, et que celle des notes en mathématiques vaut 5.</w:t>
      </w:r>
    </w:p>
    <w:p>
      <w:pPr>
        <w:pStyle w:val="Corpsdetexte"/>
      </w:pPr>
      <w:r>
        <w:t xml:space="preserve">L’avantage de cette mesure est qu’elle est très simple à calculer. En contre-partie,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abordez en un coup d’oeil la distribution de vos résultats, mais n’accordez aucun crédit à cet indicateur dès lors que vous entrez dans une analyse plus fine.</w:t>
      </w:r>
    </w:p>
    <w:p>
      <w:pPr>
        <w:pStyle w:val="Titre3"/>
      </w:pPr>
      <w:bookmarkStart w:id="88" w:name="ecart-interquartile"/>
      <w:bookmarkEnd w:id="88"/>
      <w:r>
        <w:t xml:space="preserve">Ecart interquartile</w:t>
      </w:r>
    </w:p>
    <w:p>
      <w:pPr>
        <w:pStyle w:val="FirstParagraph"/>
      </w:pPr>
      <w:r>
        <w:t xml:space="preserve">L’écart interquartile consiste à mesurer l’écart entre le troisième et le premier quartile (c’est la boite centrale de la boîte à moustaches décrite précédemment, soit les 50% des données centrales de la distribution).</w:t>
      </w:r>
    </w:p>
    <w:p>
      <w:pPr>
        <w:pStyle w:val="Corpsdetexte"/>
      </w:pPr>
      <m:oMathPara>
        <m:oMathParaPr>
          <m:jc m:val="center"/>
        </m:oMathParaPr>
        <m:oMath>
          <m:r>
            <m:t>E</m:t>
          </m:r>
          <m:r>
            <m:t>I</m:t>
          </m:r>
          <m:r>
            <m:t>Q</m:t>
          </m:r>
          <m:r>
            <m:t>=</m:t>
          </m:r>
          <m:sSub>
            <m:e>
              <m:r>
                <m:t>Q</m:t>
              </m:r>
            </m:e>
            <m:sub>
              <m:r>
                <m:t>3</m:t>
              </m:r>
            </m:sub>
          </m:sSub>
          <m:r>
            <m:t>−</m:t>
          </m:r>
          <m:sSub>
            <m:e>
              <m:r>
                <m:t>Q</m:t>
              </m:r>
            </m:e>
            <m:sub>
              <m:r>
                <m:t>1</m:t>
              </m:r>
            </m:sub>
          </m:sSub>
        </m:oMath>
      </m:oMathPara>
    </w:p>
    <w:p>
      <w:pPr>
        <w:pStyle w:val="FirstParagraph"/>
      </w:pPr>
      <w:r>
        <w:t xml:space="preserve">Dans l’exemple des notes de cours de la Table 4.3, on trouve que l’écart interquartile des notes en français vaut 1, et que celui des notes en mathématiques vaut 3.</w:t>
      </w:r>
    </w:p>
    <w:p>
      <w:pPr>
        <w:pStyle w:val="Corpsdetexte"/>
      </w:pPr>
      <w:r>
        <w:t xml:space="preserve">Contrairement à l’étendue des données, l’écart interquartile présente l’avantage de ne pas être sensible aux valeurs extrêmes.</w:t>
      </w:r>
    </w:p>
    <w:p>
      <w:pPr>
        <w:pStyle w:val="Titre3"/>
      </w:pPr>
      <w:bookmarkStart w:id="89" w:name="ecart-moyen-absolu-ema"/>
      <w:bookmarkEnd w:id="89"/>
      <w:r>
        <w:t xml:space="preserve">Ecart moyen absolu (EMA)</w:t>
      </w:r>
    </w:p>
    <w:p>
      <w:pPr>
        <w:pStyle w:val="FirstParagraph"/>
      </w:pPr>
      <w:r>
        <w:t xml:space="preserve">Un autre moyen de calculer la dispersion est de mesurer les écarts par rapport à la moyenne (E), tel que fait à la deuxième colonne de la Table 4.4 et de la Table 4.5.</w:t>
      </w:r>
    </w:p>
    <w:p>
      <w:pPr>
        <w:pStyle w:val="Corpsdetexte"/>
      </w:pPr>
      <m:oMathPara>
        <m:oMathParaPr>
          <m:jc m:val="center"/>
        </m:oMathParaPr>
        <m:oMath>
          <m:sSub>
            <m:e>
              <m:r>
                <m:t>E</m:t>
              </m:r>
            </m:e>
            <m:sub>
              <m:r>
                <m:t>i</m:t>
              </m:r>
            </m:sub>
          </m:sSub>
          <m:r>
            <m:t>=</m:t>
          </m:r>
          <m:sSub>
            <m:e>
              <m:r>
                <m:t>X</m:t>
              </m:r>
            </m:e>
            <m:sub>
              <m:r>
                <m:t>i</m:t>
              </m:r>
            </m:sub>
          </m:sSub>
          <m:r>
            <m:t>−</m:t>
          </m:r>
          <m:bar>
            <m:barPr>
              <m:pos m:val="top"/>
            </m:barPr>
            <m:e>
              <m:sSub>
                <m:e>
                  <m:r>
                    <m:t>X</m:t>
                  </m:r>
                </m:e>
                <m:sub>
                  <m:r>
                    <m:t>i</m:t>
                  </m:r>
                </m:sub>
              </m:sSub>
            </m:e>
          </m:bar>
        </m:oMath>
      </m:oMathPara>
    </w:p>
    <w:p>
      <w:pPr>
        <w:pStyle w:val="FirstParagraph"/>
      </w:pPr>
      <w:r>
        <w:t xml:space="preserve">Table 4.4</w:t>
      </w:r>
      <w:r>
        <w:br w:type="textWrapping"/>
      </w:r>
      <w:r>
        <w:rPr>
          <w:i/>
        </w:rPr>
        <w:t xml:space="preserve">Notes en % obtenues par 10 des étudiants en mathématiques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m</m:t>
              </m:r>
              <m:r>
                <m:t>a</m:t>
              </m:r>
              <m:r>
                <m:t>t</m:t>
              </m:r>
              <m:r>
                <m:t>h</m:t>
              </m:r>
              <m:r>
                <m:t>(</m:t>
              </m:r>
              <m:sSub>
                <m:e>
                  <m:r>
                    <m:t>X</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8.5</w:t>
            </w:r>
          </w:p>
        </w:tc>
        <w:tc>
          <w:p>
            <w:pPr>
              <w:pStyle w:val="Compact"/>
              <w:jc w:val="center"/>
            </w:pPr>
            <w:r>
              <w:t xml:space="preserve">2.5</w:t>
            </w:r>
          </w:p>
        </w:tc>
      </w:tr>
      <w:tr>
        <w:tc>
          <w:p>
            <w:pPr>
              <w:pStyle w:val="Compact"/>
              <w:jc w:val="center"/>
            </w:pPr>
            <w:r>
              <w:t xml:space="preserve">2</w:t>
            </w:r>
          </w:p>
        </w:tc>
        <w:tc>
          <w:p>
            <w:pPr>
              <w:pStyle w:val="Compact"/>
              <w:jc w:val="center"/>
            </w:pPr>
            <w:r>
              <w:t xml:space="preserve">4.0</w:t>
            </w:r>
          </w:p>
        </w:tc>
        <w:tc>
          <w:p>
            <w:pPr>
              <w:pStyle w:val="Compact"/>
              <w:jc w:val="center"/>
            </w:pPr>
            <w:r>
              <w:t xml:space="preserve">-2.0</w:t>
            </w:r>
          </w:p>
        </w:tc>
      </w:tr>
      <w:tr>
        <w:tc>
          <w:p>
            <w:pPr>
              <w:pStyle w:val="Compact"/>
              <w:jc w:val="center"/>
            </w:pPr>
            <w:r>
              <w:t xml:space="preserve">3</w:t>
            </w:r>
          </w:p>
        </w:tc>
        <w:tc>
          <w:p>
            <w:pPr>
              <w:pStyle w:val="Compact"/>
              <w:jc w:val="center"/>
            </w:pPr>
            <w:r>
              <w:t xml:space="preserve">4.5</w:t>
            </w:r>
          </w:p>
        </w:tc>
        <w:tc>
          <w:p>
            <w:pPr>
              <w:pStyle w:val="Compact"/>
              <w:jc w:val="center"/>
            </w:pPr>
            <w:r>
              <w:t xml:space="preserve">-1.5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3.5</w:t>
            </w:r>
          </w:p>
        </w:tc>
        <w:tc>
          <w:p>
            <w:pPr>
              <w:pStyle w:val="Compact"/>
              <w:jc w:val="center"/>
            </w:pPr>
            <w:r>
              <w:t xml:space="preserve">-2.5</w:t>
            </w:r>
          </w:p>
        </w:tc>
      </w:tr>
      <w:tr>
        <w:tc>
          <w:p>
            <w:pPr>
              <w:pStyle w:val="Compact"/>
              <w:jc w:val="center"/>
            </w:pPr>
            <w:r>
              <w:t xml:space="preserve">6</w:t>
            </w:r>
          </w:p>
        </w:tc>
        <w:tc>
          <w:p>
            <w:pPr>
              <w:pStyle w:val="Compact"/>
              <w:jc w:val="center"/>
            </w:pPr>
            <w:r>
              <w:t xml:space="preserve">6.5</w:t>
            </w:r>
          </w:p>
        </w:tc>
        <w:tc>
          <w:p>
            <w:pPr>
              <w:pStyle w:val="Compact"/>
              <w:jc w:val="center"/>
            </w:pPr>
            <w:r>
              <w:t xml:space="preserve">0.5</w:t>
            </w:r>
          </w:p>
        </w:tc>
      </w:tr>
      <w:tr>
        <w:tc>
          <w:p>
            <w:pPr>
              <w:pStyle w:val="Compact"/>
              <w:jc w:val="center"/>
            </w:pPr>
            <w:r>
              <w:t xml:space="preserve">7</w:t>
            </w:r>
          </w:p>
        </w:tc>
        <w:tc>
          <w:p>
            <w:pPr>
              <w:pStyle w:val="Compact"/>
              <w:jc w:val="center"/>
            </w:pPr>
            <w:r>
              <w:t xml:space="preserve">7.0</w:t>
            </w:r>
          </w:p>
        </w:tc>
        <w:tc>
          <w:p>
            <w:pPr>
              <w:pStyle w:val="Compact"/>
              <w:jc w:val="center"/>
            </w:pPr>
            <w:r>
              <w:t xml:space="preserve">1.0</w:t>
            </w:r>
          </w:p>
        </w:tc>
      </w:tr>
      <w:tr>
        <w:tc>
          <w:p>
            <w:pPr>
              <w:pStyle w:val="Compact"/>
              <w:jc w:val="center"/>
            </w:pPr>
            <w:r>
              <w:t xml:space="preserve">8</w:t>
            </w:r>
          </w:p>
        </w:tc>
        <w:tc>
          <w:p>
            <w:pPr>
              <w:pStyle w:val="Compact"/>
              <w:jc w:val="center"/>
            </w:pPr>
            <w:r>
              <w:t xml:space="preserve">5.0</w:t>
            </w:r>
          </w:p>
        </w:tc>
        <w:tc>
          <w:p>
            <w:pPr>
              <w:pStyle w:val="Compact"/>
              <w:jc w:val="center"/>
            </w:pPr>
            <w:r>
              <w:t xml:space="preserve">-1.0</w:t>
            </w:r>
          </w:p>
        </w:tc>
      </w:tr>
      <w:tr>
        <w:tc>
          <w:p>
            <w:pPr>
              <w:pStyle w:val="Compact"/>
              <w:jc w:val="center"/>
            </w:pPr>
            <w:r>
              <w:t xml:space="preserve">9</w:t>
            </w:r>
          </w:p>
        </w:tc>
        <w:tc>
          <w:p>
            <w:pPr>
              <w:pStyle w:val="Compact"/>
              <w:jc w:val="center"/>
            </w:pPr>
            <w:r>
              <w:t xml:space="preserve">7.5</w:t>
            </w:r>
          </w:p>
        </w:tc>
        <w:tc>
          <w:p>
            <w:pPr>
              <w:pStyle w:val="Compact"/>
              <w:jc w:val="center"/>
            </w:pPr>
            <w:r>
              <w:t xml:space="preserve">1.5</w:t>
            </w:r>
          </w:p>
        </w:tc>
      </w:tr>
      <w:tr>
        <w:tc>
          <w:p>
            <w:pPr>
              <w:pStyle w:val="Compact"/>
              <w:jc w:val="center"/>
            </w:pPr>
            <w:r>
              <w:t xml:space="preserve">10</w:t>
            </w:r>
          </w:p>
        </w:tc>
        <w:tc>
          <w:p>
            <w:pPr>
              <w:pStyle w:val="Compact"/>
              <w:jc w:val="center"/>
            </w:pPr>
            <w:r>
              <w:t xml:space="preserve">7.5</w:t>
            </w:r>
          </w:p>
        </w:tc>
        <w:tc>
          <w:p>
            <w:pPr>
              <w:pStyle w:val="Compact"/>
              <w:jc w:val="center"/>
            </w:pPr>
            <w:r>
              <w:t xml:space="preserve">1.5</w:t>
            </w:r>
          </w:p>
        </w:tc>
      </w:tr>
    </w:tbl>
    <w:p>
      <w:pPr>
        <w:pStyle w:val="Corpsdetexte"/>
      </w:pPr>
      <w:r>
        <w:t xml:space="preserve">Table 4.5</w:t>
      </w:r>
      <w:r>
        <w:br w:type="textWrapping"/>
      </w:r>
      <w:r>
        <w:rPr>
          <w:i/>
        </w:rPr>
        <w:t xml:space="preserve">Notes en % obtenues par 10 des étudiants en francais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f</m:t>
              </m:r>
              <m:r>
                <m:t>r</m:t>
              </m:r>
              <m:r>
                <m:t>a</m:t>
              </m:r>
              <m:r>
                <m:t>n</m:t>
              </m:r>
              <m:r>
                <m:t>c</m:t>
              </m:r>
              <m:r>
                <m:t>a</m:t>
              </m:r>
              <m:r>
                <m:t>i</m:t>
              </m:r>
              <m:r>
                <m:t>s</m:t>
              </m:r>
              <m:r>
                <m:t>(</m:t>
              </m:r>
              <m:sSub>
                <m:e>
                  <m:r>
                    <m:t>Z</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7.0</w:t>
            </w:r>
          </w:p>
        </w:tc>
        <w:tc>
          <w:p>
            <w:pPr>
              <w:pStyle w:val="Compact"/>
              <w:jc w:val="center"/>
            </w:pPr>
            <w:r>
              <w:t xml:space="preserve">1.0</w:t>
            </w:r>
          </w:p>
        </w:tc>
      </w:tr>
      <w:tr>
        <w:tc>
          <w:p>
            <w:pPr>
              <w:pStyle w:val="Compact"/>
              <w:jc w:val="center"/>
            </w:pPr>
            <w:r>
              <w:t xml:space="preserve">2</w:t>
            </w:r>
          </w:p>
        </w:tc>
        <w:tc>
          <w:p>
            <w:pPr>
              <w:pStyle w:val="Compact"/>
              <w:jc w:val="center"/>
            </w:pPr>
            <w:r>
              <w:t xml:space="preserve">6.0</w:t>
            </w:r>
          </w:p>
        </w:tc>
        <w:tc>
          <w:p>
            <w:pPr>
              <w:pStyle w:val="Compact"/>
              <w:jc w:val="center"/>
            </w:pPr>
            <w:r>
              <w:t xml:space="preserve">0.0</w:t>
            </w:r>
          </w:p>
        </w:tc>
      </w:tr>
      <w:tr>
        <w:tc>
          <w:p>
            <w:pPr>
              <w:pStyle w:val="Compact"/>
              <w:jc w:val="center"/>
            </w:pPr>
            <w:r>
              <w:t xml:space="preserve">3</w:t>
            </w:r>
          </w:p>
        </w:tc>
        <w:tc>
          <w:p>
            <w:pPr>
              <w:pStyle w:val="Compact"/>
              <w:jc w:val="center"/>
            </w:pPr>
            <w:r>
              <w:t xml:space="preserve">5.5</w:t>
            </w:r>
          </w:p>
        </w:tc>
        <w:tc>
          <w:p>
            <w:pPr>
              <w:pStyle w:val="Compact"/>
              <w:jc w:val="center"/>
            </w:pPr>
            <w:r>
              <w:t xml:space="preserve">-0.5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4.5</w:t>
            </w:r>
          </w:p>
        </w:tc>
        <w:tc>
          <w:p>
            <w:pPr>
              <w:pStyle w:val="Compact"/>
              <w:jc w:val="center"/>
            </w:pPr>
            <w:r>
              <w:t xml:space="preserve">-1.5</w:t>
            </w:r>
          </w:p>
        </w:tc>
      </w:tr>
      <w:tr>
        <w:tc>
          <w:p>
            <w:pPr>
              <w:pStyle w:val="Compact"/>
              <w:jc w:val="center"/>
            </w:pPr>
            <w:r>
              <w:t xml:space="preserve">6</w:t>
            </w:r>
          </w:p>
        </w:tc>
        <w:tc>
          <w:p>
            <w:pPr>
              <w:pStyle w:val="Compact"/>
              <w:jc w:val="center"/>
            </w:pPr>
            <w:r>
              <w:t xml:space="preserve">6.0</w:t>
            </w:r>
          </w:p>
        </w:tc>
        <w:tc>
          <w:p>
            <w:pPr>
              <w:pStyle w:val="Compact"/>
              <w:jc w:val="center"/>
            </w:pPr>
            <w:r>
              <w:t xml:space="preserve">0.0</w:t>
            </w:r>
          </w:p>
        </w:tc>
      </w:tr>
      <w:tr>
        <w:tc>
          <w:p>
            <w:pPr>
              <w:pStyle w:val="Compact"/>
              <w:jc w:val="center"/>
            </w:pPr>
            <w:r>
              <w:t xml:space="preserve">7</w:t>
            </w:r>
          </w:p>
        </w:tc>
        <w:tc>
          <w:p>
            <w:pPr>
              <w:pStyle w:val="Compact"/>
              <w:jc w:val="center"/>
            </w:pPr>
            <w:r>
              <w:t xml:space="preserve">6.5</w:t>
            </w:r>
          </w:p>
        </w:tc>
        <w:tc>
          <w:p>
            <w:pPr>
              <w:pStyle w:val="Compact"/>
              <w:jc w:val="center"/>
            </w:pPr>
            <w:r>
              <w:t xml:space="preserve">0.5</w:t>
            </w:r>
          </w:p>
        </w:tc>
      </w:tr>
      <w:tr>
        <w:tc>
          <w:p>
            <w:pPr>
              <w:pStyle w:val="Compact"/>
              <w:jc w:val="center"/>
            </w:pPr>
            <w:r>
              <w:t xml:space="preserve">8</w:t>
            </w:r>
          </w:p>
        </w:tc>
        <w:tc>
          <w:p>
            <w:pPr>
              <w:pStyle w:val="Compact"/>
              <w:jc w:val="center"/>
            </w:pPr>
            <w:r>
              <w:t xml:space="preserve">5.5</w:t>
            </w:r>
          </w:p>
        </w:tc>
        <w:tc>
          <w:p>
            <w:pPr>
              <w:pStyle w:val="Compact"/>
              <w:jc w:val="center"/>
            </w:pPr>
            <w:r>
              <w:t xml:space="preserve">-0.5</w:t>
            </w:r>
          </w:p>
        </w:tc>
      </w:tr>
      <w:tr>
        <w:tc>
          <w:p>
            <w:pPr>
              <w:pStyle w:val="Compact"/>
              <w:jc w:val="center"/>
            </w:pPr>
            <w:r>
              <w:t xml:space="preserve">9</w:t>
            </w:r>
          </w:p>
        </w:tc>
        <w:tc>
          <w:p>
            <w:pPr>
              <w:pStyle w:val="Compact"/>
              <w:jc w:val="center"/>
            </w:pPr>
            <w:r>
              <w:t xml:space="preserve">6.5</w:t>
            </w:r>
          </w:p>
        </w:tc>
        <w:tc>
          <w:p>
            <w:pPr>
              <w:pStyle w:val="Compact"/>
              <w:jc w:val="center"/>
            </w:pPr>
            <w:r>
              <w:t xml:space="preserve">0.5</w:t>
            </w:r>
          </w:p>
        </w:tc>
      </w:tr>
      <w:tr>
        <w:tc>
          <w:p>
            <w:pPr>
              <w:pStyle w:val="Compact"/>
              <w:jc w:val="center"/>
            </w:pPr>
            <w:r>
              <w:t xml:space="preserve">10</w:t>
            </w:r>
          </w:p>
        </w:tc>
        <w:tc>
          <w:p>
            <w:pPr>
              <w:pStyle w:val="Compact"/>
              <w:jc w:val="center"/>
            </w:pPr>
            <w:r>
              <w:t xml:space="preserve">6.5</w:t>
            </w:r>
          </w:p>
        </w:tc>
        <w:tc>
          <w:p>
            <w:pPr>
              <w:pStyle w:val="Compact"/>
              <w:jc w:val="center"/>
            </w:pPr>
            <w:r>
              <w:t xml:space="preserve">0.5</w:t>
            </w:r>
          </w:p>
        </w:tc>
      </w:tr>
    </w:tbl>
    <w:p>
      <w:pPr>
        <w:pStyle w:val="Corpsdetexte"/>
      </w:pPr>
      <w:r>
        <w:t xml:space="preserve">Une information intéressante, en vue de déterminer la dispersion, serait de pouvoir estimer l’écart moyen des observations par rapport à la moyenne. Cependant, nous nous retrouvons confrontés à un problème: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p>
    <w:p>
      <w:pPr>
        <w:pStyle w:val="Corpsdetexte"/>
      </w:pPr>
      <w:r>
        <w:t xml:space="preserve">Pour le cours de math:</w:t>
      </w:r>
      <w:r>
        <w:t xml:space="preserve"> </w:t>
      </w:r>
      <m:oMath>
        <m:nary>
          <m:naryPr>
            <m:chr m:val="∑"/>
            <m:limLoc m:val="undOvr"/>
            <m:subHide m:val="0"/>
            <m:supHide m:val="0"/>
          </m:naryPr>
          <m:sub>
            <m:r>
              <m:t>i</m:t>
            </m:r>
            <m:r>
              <m:t>=</m:t>
            </m:r>
            <m:r>
              <m:t>1</m:t>
            </m:r>
          </m:sub>
          <m:sup>
            <m:r>
              <m:t>n</m:t>
            </m:r>
          </m:sup>
          <m:e>
            <m:sSub>
              <m:e>
                <m:r>
                  <m:t>E</m:t>
                </m:r>
              </m:e>
              <m:sub>
                <m:r>
                  <m:t>i</m:t>
                </m:r>
              </m:sub>
            </m:sSub>
          </m:e>
        </m:nary>
        <m:r>
          <m:t>=</m:t>
        </m:r>
        <m:r>
          <m:t>2.5</m:t>
        </m:r>
        <m:r>
          <m:t>−</m:t>
        </m:r>
        <m:r>
          <m:t>2</m:t>
        </m:r>
        <m:r>
          <m:t>−</m:t>
        </m:r>
        <m:r>
          <m:t>1.5</m:t>
        </m:r>
        <m:r>
          <m:t>+</m:t>
        </m:r>
        <m:r>
          <m:t>0</m:t>
        </m:r>
        <m:r>
          <m:t>−</m:t>
        </m:r>
        <m:r>
          <m:t>2.5</m:t>
        </m:r>
        <m:r>
          <m:t>+</m:t>
        </m:r>
        <m:r>
          <m:t>0.5</m:t>
        </m:r>
        <m:r>
          <m:t>+</m:t>
        </m:r>
        <m:r>
          <m:t>1</m:t>
        </m:r>
        <m:r>
          <m:t>−</m:t>
        </m:r>
        <m:r>
          <m:t>1</m:t>
        </m:r>
        <m:r>
          <m:t>+</m:t>
        </m:r>
        <m:r>
          <m:t>1.5</m:t>
        </m:r>
        <m:r>
          <m:t>+</m:t>
        </m:r>
        <m:r>
          <m:t>1.5</m:t>
        </m:r>
        <m:r>
          <m:t>=</m:t>
        </m:r>
        <m:r>
          <m:t>0</m:t>
        </m:r>
      </m:oMath>
    </w:p>
    <w:p>
      <w:pPr>
        <w:pStyle w:val="Corpsdetexte"/>
      </w:pPr>
      <w:r>
        <w:t xml:space="preserve">Pour le cours de français:</w:t>
      </w:r>
      <w:r>
        <w:t xml:space="preserve"> </w:t>
      </w:r>
      <m:oMath>
        <m:nary>
          <m:naryPr>
            <m:chr m:val="∑"/>
            <m:limLoc m:val="undOvr"/>
            <m:subHide m:val="0"/>
            <m:supHide m:val="0"/>
          </m:naryPr>
          <m:sub>
            <m:r>
              <m:t>i</m:t>
            </m:r>
            <m:r>
              <m:t>=</m:t>
            </m:r>
            <m:r>
              <m:t>1</m:t>
            </m:r>
          </m:sub>
          <m:sup>
            <m:r>
              <m:t>n</m:t>
            </m:r>
          </m:sup>
          <m:e>
            <m:sSub>
              <m:e>
                <m:r>
                  <m:t>E</m:t>
                </m:r>
              </m:e>
              <m:sub>
                <m:r>
                  <m:t>i</m:t>
                </m:r>
              </m:sub>
            </m:sSub>
          </m:e>
        </m:nary>
        <m:r>
          <m:t>=</m:t>
        </m:r>
        <m:r>
          <m:t>1</m:t>
        </m:r>
        <m:r>
          <m:t>+</m:t>
        </m:r>
        <m:r>
          <m:t>0</m:t>
        </m:r>
        <m:r>
          <m:t>−</m:t>
        </m:r>
        <m:r>
          <m:t>0.5</m:t>
        </m:r>
        <m:r>
          <m:t>+</m:t>
        </m:r>
        <m:r>
          <m:t>0</m:t>
        </m:r>
        <m:r>
          <m:t>−</m:t>
        </m:r>
        <m:r>
          <m:t>1.5</m:t>
        </m:r>
        <m:r>
          <m:t>+</m:t>
        </m:r>
        <m:r>
          <m:t>0</m:t>
        </m:r>
        <m:r>
          <m:t>+</m:t>
        </m:r>
        <m:r>
          <m:t>0.5</m:t>
        </m:r>
        <m:r>
          <m:t>−</m:t>
        </m:r>
        <m:r>
          <m:t>0.5</m:t>
        </m:r>
        <m:r>
          <m:t>+</m:t>
        </m:r>
        <m:r>
          <m:t>0.5</m:t>
        </m:r>
        <m:r>
          <m:t>+</m:t>
        </m:r>
        <m:r>
          <m:t>0.5</m:t>
        </m:r>
        <m:r>
          <m:t>=</m:t>
        </m:r>
        <m:r>
          <m:t>0</m:t>
        </m:r>
      </m:oMath>
    </w:p>
    <w:p>
      <w:pPr>
        <w:pStyle w:val="Corpsdetexte"/>
      </w:pPr>
      <w:r>
        <w:t xml:space="preserve">Il existe deux moyens de contourner ce problème. Soit prendre la valeur absolue de chaque écart, soit élever toutes les erreurs au carré (et donc ne plus se soucier du signe, puisqu’un chiffre négatif élevé au carré devient positif).</w:t>
      </w:r>
    </w:p>
    <w:p>
      <w:pPr>
        <w:pStyle w:val="Corpsdetexte"/>
      </w:pPr>
      <w:r>
        <w:t xml:space="preserve">La première stratégie est celle choisie lorqu’on calcule l’EMA. l’EMA est une estimation de l’écart à la moyenne, en moyenne, par sujet. Il se calcule comme suit:</w:t>
      </w:r>
    </w:p>
    <w:p>
      <w:pPr>
        <w:pStyle w:val="Corpsdetexte"/>
      </w:pPr>
      <m:oMathPara>
        <m:oMathParaPr>
          <m:jc m:val="center"/>
        </m:oMathParaPr>
        <m:oMath>
          <m:r>
            <m:t>E</m:t>
          </m:r>
          <m:r>
            <m:t>M</m:t>
          </m:r>
          <m:r>
            <m:t>A</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2.5</m:t>
              </m:r>
              <m:r>
                <m:t>+</m:t>
              </m:r>
              <m:r>
                <m:t>2</m:t>
              </m:r>
              <m:r>
                <m:t>+</m:t>
              </m:r>
              <m:r>
                <m:t>1.5</m:t>
              </m:r>
              <m:r>
                <m:t>+</m:t>
              </m:r>
              <m:r>
                <m:t>0</m:t>
              </m:r>
              <m:r>
                <m:t>+</m:t>
              </m:r>
              <m:r>
                <m:t>2.5</m:t>
              </m:r>
              <m:r>
                <m:t>+</m:t>
              </m:r>
              <m:r>
                <m:t>0.5</m:t>
              </m:r>
              <m:r>
                <m:t>+</m:t>
              </m:r>
              <m:r>
                <m:t>1</m:t>
              </m:r>
              <m:r>
                <m:t>+</m:t>
              </m:r>
              <m:r>
                <m:t>1</m:t>
              </m:r>
              <m:r>
                <m:t>+</m:t>
              </m:r>
              <m:r>
                <m:t>1.5</m:t>
              </m:r>
              <m:r>
                <m:t>+</m:t>
              </m:r>
              <m:r>
                <m:t>1.5</m:t>
              </m:r>
            </m:num>
            <m:den>
              <m:r>
                <m:t>10</m:t>
              </m:r>
            </m:den>
          </m:f>
          <m:r>
            <m:t>=</m:t>
          </m:r>
          <m:r>
            <m:t>1.4</m:t>
          </m:r>
        </m:oMath>
      </m:oMathPara>
    </w:p>
    <w:p>
      <w:pPr>
        <w:pStyle w:val="FirstParagraph"/>
      </w:pPr>
      <w:r>
        <w:t xml:space="preserve">.</w:t>
      </w:r>
    </w:p>
    <w:p>
      <w:pPr>
        <w:pStyle w:val="Corpsdetexte"/>
      </w:pPr>
      <w:r>
        <w:t xml:space="preserve">Cela revient à dire que les notes s’écartent en moyenne de 1.4 points par rapport à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0.5</m:t>
              </m:r>
              <m:r>
                <m:t>+</m:t>
              </m:r>
              <m:r>
                <m:t>0</m:t>
              </m:r>
              <m:r>
                <m:t>+</m:t>
              </m:r>
              <m:r>
                <m:t>1.5</m:t>
              </m:r>
              <m:r>
                <m:t>+</m:t>
              </m:r>
              <m:r>
                <m:t>0</m:t>
              </m:r>
              <m:r>
                <m:t>+</m:t>
              </m:r>
              <m:r>
                <m:t>0.5</m:t>
              </m:r>
              <m:r>
                <m:t>+</m:t>
              </m:r>
              <m:r>
                <m:t>0.5</m:t>
              </m:r>
              <m:r>
                <m:t>+</m:t>
              </m:r>
              <m:r>
                <m:t>0.5</m:t>
              </m:r>
              <m:r>
                <m:t>+</m:t>
              </m:r>
              <m:r>
                <m:t>0.5</m:t>
              </m:r>
            </m:num>
            <m:den>
              <m:r>
                <m:t>10</m:t>
              </m:r>
            </m:den>
          </m:f>
          <m:r>
            <m:t>=</m:t>
          </m:r>
          <m:r>
            <m:t>0.5</m:t>
          </m:r>
        </m:oMath>
      </m:oMathPara>
    </w:p>
    <w:p>
      <w:pPr>
        <w:pStyle w:val="FirstParagraph"/>
      </w:pPr>
      <w:r>
        <w:t xml:space="preserve">.</w:t>
      </w:r>
    </w:p>
    <w:p>
      <w:pPr>
        <w:pStyle w:val="Corpsdetexte"/>
      </w:pPr>
      <w:r>
        <w:t xml:space="preserve">Cela revient à dire que les notes s’écartent en moyenne de 0.5 points par rapport à la moyenne de 6.</w:t>
      </w:r>
    </w:p>
    <w:p>
      <w:pPr>
        <w:pStyle w:val="Corpsdetexte"/>
      </w:pPr>
      <w:r>
        <w:t xml:space="preserve">Bien que cette mesure est une excellente façon de se représenter la dispersion, elle est totalement supplantée par l’écar-type. Cela provient du fait que l’écart-type est dérivé de la variance qui jouit de propriétés mathématiques qui lui font jouer un rôle central en statistique théorique.</w:t>
      </w:r>
    </w:p>
    <w:p>
      <w:pPr>
        <w:pStyle w:val="Titre3"/>
      </w:pPr>
      <w:bookmarkStart w:id="90" w:name="variance-et-ecart-type"/>
      <w:bookmarkEnd w:id="90"/>
      <w:r>
        <w:t xml:space="preserve">Variance et ecart-type</w:t>
      </w:r>
    </w:p>
    <w:p>
      <w:pPr>
        <w:pStyle w:val="FirstParagraph"/>
      </w:pPr>
      <w: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Elle se calcule comme suit:</w:t>
      </w:r>
    </w:p>
    <w:p>
      <w:pPr>
        <w:pStyle w:val="Corpsdetexte"/>
      </w:pPr>
      <m:oMathPara>
        <m:oMathParaPr>
          <m:jc m:val="center"/>
        </m:oMathParaPr>
        <m:oMath>
          <m:r>
            <m:t>V</m:t>
          </m:r>
          <m:r>
            <m:t>a</m:t>
          </m:r>
          <m:r>
            <m:t>r</m:t>
          </m:r>
          <m:r>
            <m:t>i</m:t>
          </m:r>
          <m:r>
            <m:t>a</m:t>
          </m:r>
          <m:r>
            <m:t>n</m:t>
          </m:r>
          <m:r>
            <m:t>c</m:t>
          </m:r>
          <m:r>
            <m:t>e</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6.25</m:t>
              </m:r>
              <m:r>
                <m:t>+</m:t>
              </m:r>
              <m:r>
                <m:t>4</m:t>
              </m:r>
              <m:r>
                <m:t>+</m:t>
              </m:r>
              <m:r>
                <m:t>2.25</m:t>
              </m:r>
              <m:r>
                <m:t>+</m:t>
              </m:r>
              <m:r>
                <m:t>0</m:t>
              </m:r>
              <m:r>
                <m:t>+</m:t>
              </m:r>
              <m:r>
                <m:t>6.25</m:t>
              </m:r>
              <m:r>
                <m:t>+</m:t>
              </m:r>
              <m:r>
                <m:t>0.25</m:t>
              </m:r>
              <m:r>
                <m:t>+</m:t>
              </m:r>
              <m:r>
                <m:t>1</m:t>
              </m:r>
              <m:r>
                <m:t>+</m:t>
              </m:r>
              <m:r>
                <m:t>1</m:t>
              </m:r>
              <m:r>
                <m:t>+</m:t>
              </m:r>
              <m:r>
                <m:t>2.25</m:t>
              </m:r>
              <m:r>
                <m:t>+</m:t>
              </m:r>
              <m:r>
                <m:t>2.25</m:t>
              </m:r>
            </m:num>
            <m:den>
              <m:r>
                <m:t>10</m:t>
              </m:r>
            </m:den>
          </m:f>
          <m:r>
            <m:t>=</m:t>
          </m:r>
          <m:r>
            <m:t>2.55</m:t>
          </m:r>
        </m:oMath>
      </m:oMathPara>
    </w:p>
    <w:p>
      <w:pPr>
        <w:pStyle w:val="FirstParagraph"/>
      </w:pPr>
      <w:r>
        <w:t xml:space="preserve">.</w:t>
      </w:r>
    </w:p>
    <w:p>
      <w:pPr>
        <w:pStyle w:val="Corpsdetexte"/>
      </w:pPr>
      <w:r>
        <w:t xml:space="preserve">Il y a cependant un petit problème: la moyenne de la somme des carrés des écarts (SCE) est un chiffre dont l’unité est le carré de l’unité des données étudiées. Trouver une variance de 2.55 revient à dire que les notes s’écartent en moyenne de 2.55</w:t>
      </w:r>
      <w:r>
        <w:t xml:space="preserve"> </w:t>
      </w:r>
      <w:r>
        <w:t xml:space="preserve">“</w:t>
      </w:r>
      <w:r>
        <w:t xml:space="preserve">points au carré</w:t>
      </w:r>
      <w:r>
        <w:t xml:space="preserve">”</w:t>
      </w:r>
      <w:r>
        <w:t xml:space="preserve"> </w:t>
      </w:r>
      <w:r>
        <w:t xml:space="preserve">de la moyenne de 6. C’est donc très difficilement interprétable. Pour résoudre ce problème, on va ramener cet indicateur à la même unité que l’unité de la moyenne, c’est-à-dire les</w:t>
      </w:r>
      <w:r>
        <w:t xml:space="preserve"> </w:t>
      </w:r>
      <w:r>
        <w:t xml:space="preserve">“</w:t>
      </w:r>
      <w:r>
        <w:t xml:space="preserve">points</w:t>
      </w:r>
      <w:r>
        <w:t xml:space="preserve">”</w:t>
      </w:r>
      <w:r>
        <w:t xml:space="preserve">. Pour ce faire, il suffit d’extraire la racine carrée de la variance:</w:t>
      </w:r>
      <w:r>
        <w:t xml:space="preserve"> </w:t>
      </w:r>
      <m:oMath>
        <m:rad>
          <m:radPr>
            <m:degHide m:val="1"/>
          </m:radPr>
          <m:deg/>
          <m:e>
            <m:r>
              <m:t>2.55</m:t>
            </m:r>
          </m:e>
        </m:rad>
        <m:r>
          <m:t>=</m:t>
        </m:r>
        <m:r>
          <m:t>1.6</m:t>
        </m:r>
      </m:oMath>
      <w:r>
        <w:t xml:space="preserve">. Cette mesure constitue</w:t>
      </w:r>
      <w:r>
        <w:t xml:space="preserve"> </w:t>
      </w:r>
      <w:r>
        <w:rPr>
          <w:b/>
        </w:rPr>
        <w:t xml:space="preserve">l’écart-type</w:t>
      </w:r>
      <w:r>
        <w:t xml:space="preserve">. Nous pouvons maintenant dire que les sujets s’écartent en moyenne de 1.6 points autour de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0.25</m:t>
              </m:r>
              <m:r>
                <m:t>+</m:t>
              </m:r>
              <m:r>
                <m:t>0</m:t>
              </m:r>
              <m:r>
                <m:t>+</m:t>
              </m:r>
              <m:r>
                <m:t>2.25</m:t>
              </m:r>
              <m:r>
                <m:t>+</m:t>
              </m:r>
              <m:r>
                <m:t>0</m:t>
              </m:r>
              <m:r>
                <m:t>+</m:t>
              </m:r>
              <m:r>
                <m:t>0.25</m:t>
              </m:r>
              <m:r>
                <m:t>+</m:t>
              </m:r>
              <m:r>
                <m:t>0.25</m:t>
              </m:r>
              <m:r>
                <m:t>+</m:t>
              </m:r>
              <m:r>
                <m:t>0.25</m:t>
              </m:r>
              <m:r>
                <m:t>+</m:t>
              </m:r>
              <m:r>
                <m:t>0.25</m:t>
              </m:r>
            </m:num>
            <m:den>
              <m:r>
                <m:t>10</m:t>
              </m:r>
            </m:den>
          </m:f>
          <m:r>
            <m:t>=</m:t>
          </m:r>
          <m:r>
            <m:t>0.45</m:t>
          </m:r>
        </m:oMath>
      </m:oMathPara>
    </w:p>
    <w:p>
      <w:pPr>
        <w:pStyle w:val="FirstParagraph"/>
      </w:pPr>
      <w:r>
        <w:t xml:space="preserve">.</w:t>
      </w:r>
    </w:p>
    <w:p>
      <w:pPr>
        <w:pStyle w:val="Corpsdetexte"/>
      </w:pPr>
      <w:r>
        <w:t xml:space="preserve">L’écart-type, soit la racine carrée de la variance vaut</w:t>
      </w:r>
      <w:r>
        <w:t xml:space="preserve"> </w:t>
      </w:r>
      <m:oMath>
        <m:rad>
          <m:radPr>
            <m:degHide m:val="1"/>
          </m:radPr>
          <m:deg/>
          <m:e>
            <m:r>
              <m:t>0.45</m:t>
            </m:r>
          </m:e>
        </m:rad>
        <m:r>
          <m:t>=</m:t>
        </m:r>
        <m:r>
          <m:t>0.67</m:t>
        </m:r>
      </m:oMath>
      <w:r>
        <w:t xml:space="preserve">. Nous pouvons maintenant dire que les sujets s’écartent en moyenne de 0.67 points autour de la moyenne de 6.</w:t>
      </w:r>
    </w:p>
    <w:p>
      <w:pPr>
        <w:pStyle w:val="Corpsdetexte"/>
      </w:pPr>
      <w:r>
        <w:t xml:space="preserve">Remarquez que la mesure de l’écart-type est un petit peu différente de celle que nous obtenions en utilisant l’EMA (Pour le cours de math, écart-type = 1.6 vs. EMA = 1.4; pour le cours de français, écart-type = 0.67 vs. EMA = 0.5). L’écart-type est un petit peu plus conservateur, c’est-à-dire qu’il surestime un petit peu l’erreur par rapport à l’EMA.</w:t>
      </w:r>
    </w:p>
    <w:p>
      <w:pPr>
        <w:pStyle w:val="Corpsdetexte"/>
      </w:pPr>
      <w:r>
        <w:t xml:space="preserve">La variance et l’écart-type souffrent de la même limite que la moyenne: ils sont tous les deux sensibles aux valeurs abberrantes. Cette sensibilité est accentuée par le fait que l’on élève les écarts au carré!</w:t>
      </w:r>
    </w:p>
    <w:p>
      <w:pPr>
        <w:pStyle w:val="Titre2"/>
      </w:pPr>
      <w:bookmarkStart w:id="91" w:name="mesures-dasymetrie-et-daplatissement"/>
      <w:bookmarkEnd w:id="91"/>
      <w:r>
        <w:t xml:space="preserve">Mesures d’asymétrie et d’aplatissement</w:t>
      </w:r>
    </w:p>
    <w:p>
      <w:pPr>
        <w:pStyle w:val="FirstParagraph"/>
      </w:pPr>
      <w:r>
        <w:t xml:space="preserve">Les distributions statistiques peuvent avoir plusieurs formes. Nous avons déjà envisagé la différence entre les distributions unimodales et bimodales. Il est également possible de distinguer les formes des distributions sur base d’autres paramètres, tels que l’</w:t>
      </w:r>
      <w:r>
        <w:rPr>
          <w:b/>
        </w:rPr>
        <w:t xml:space="preserve">asymétrie</w:t>
      </w:r>
      <w:r>
        <w:t xml:space="preserve"> </w:t>
      </w:r>
      <w:r>
        <w:t xml:space="preserve">et l’</w:t>
      </w:r>
      <w:r>
        <w:rPr>
          <w:b/>
        </w:rPr>
        <w:t xml:space="preserve">aplatissement</w:t>
      </w:r>
      <w:r>
        <w:t xml:space="preserve">.</w:t>
      </w:r>
    </w:p>
    <w:p>
      <w:pPr>
        <w:pStyle w:val="Titre3"/>
      </w:pPr>
      <w:bookmarkStart w:id="92" w:name="mesure-dasymetrie"/>
      <w:bookmarkEnd w:id="92"/>
      <w:r>
        <w:t xml:space="preserve">Mesure d’asymétrie</w:t>
      </w:r>
    </w:p>
    <w:p>
      <w:pPr>
        <w:pStyle w:val="FirstParagraph"/>
      </w:pPr>
      <w:r>
        <w:t xml:space="preserve">Une distribution symétrique est telle que la moyenne et la médiane sont confondues. Sur la partie centrale de la Figure 4.2, on observe graphiquement que la première moitié de la distribution partie à gauche de la médiane) est la parfaite symétrie orthogonale de la deuxième moitié de la distribution (la partie à droite de la médiane).</w:t>
      </w:r>
    </w:p>
    <w:p>
      <w:pPr>
        <w:pStyle w:val="Corpsdetexte"/>
      </w:pPr>
      <w:r>
        <w:t xml:space="preserve">Figure 4.2</w:t>
      </w:r>
      <w:r>
        <w:br w:type="textWrapping"/>
      </w:r>
      <w:r>
        <w:rPr>
          <w:i/>
        </w:rPr>
        <w:t xml:space="preserve">Exemple de distributions à asymétrie négative (gauche) symétrique (milieu) et à asymétrie positive (droite)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4-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peut également présenter une asymétrie négative (si la queue de la distribution tend vers les valeurs négatives de l’axe x; extrêmité gauche de la Figure 4.2) ou une asymétrie positive (si la queue de la distribution tend vers les valeurs positives de l’axe x; extrêmité droite de la Figure 4.2).</w:t>
      </w:r>
    </w:p>
    <w:p>
      <w:pPr>
        <w:pStyle w:val="Corpsdetexte"/>
      </w:pPr>
      <w:r>
        <w:t xml:space="preserve">Bien qu’il existe plusieurs mesures d’asymétrie, la plus courante est celle proposée par Pearson, dont voici la formule:</w:t>
      </w:r>
    </w:p>
    <w:p>
      <w:pPr>
        <w:pStyle w:val="Corpsdetexte"/>
      </w:pPr>
      <m:oMathPara>
        <m:oMathParaPr>
          <m:jc m:val="center"/>
        </m:oMathParaPr>
        <m:oMath>
          <m:r>
            <m:t>G</m:t>
          </m:r>
          <m:r>
            <m:t>1</m:t>
          </m:r>
          <m:r>
            <m:t>=</m:t>
          </m:r>
          <m:f>
            <m:fPr>
              <m:type m:val="bar"/>
            </m:fPr>
            <m:num>
              <m:sSub>
                <m:e>
                  <m:r>
                    <m:t>M</m:t>
                  </m:r>
                </m:e>
                <m:sub>
                  <m:r>
                    <m:t>3</m:t>
                  </m:r>
                </m:sub>
              </m:sSub>
            </m:num>
            <m:den>
              <m:sSup>
                <m:e>
                  <m:r>
                    <m:t>S</m:t>
                  </m:r>
                </m:e>
                <m:sup>
                  <m:r>
                    <m:t>3</m:t>
                  </m:r>
                </m:sup>
              </m:sSup>
            </m:den>
          </m:f>
        </m:oMath>
      </m:oMathPara>
    </w:p>
    <w:p>
      <w:pPr>
        <w:pStyle w:val="FirstParagraph"/>
      </w:pPr>
      <m:oMathPara>
        <m:oMathParaPr>
          <m:jc m:val="center"/>
        </m:oMathParaPr>
        <m:oMath>
          <m:r>
            <m:t>a</m:t>
          </m:r>
          <m:r>
            <m:t>v</m:t>
          </m:r>
          <m:r>
            <m:t>e</m:t>
          </m:r>
          <m:r>
            <m:t>c</m:t>
          </m:r>
          <m:r>
            <m:t>,</m:t>
          </m:r>
          <m:sSub>
            <m:e>
              <m:r>
                <m:t>M</m:t>
              </m:r>
            </m:e>
            <m:sub>
              <m:r>
                <m:t>3</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3</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num>
                <m:den>
                  <m:r>
                    <m:t>n</m:t>
                  </m:r>
                </m:den>
              </m:f>
            </m:e>
          </m:rad>
        </m:oMath>
      </m:oMathPara>
    </w:p>
    <w:p>
      <w:pPr>
        <w:pStyle w:val="FirstParagraph"/>
      </w:pPr>
      <w:r>
        <w:t xml:space="preserve">Il n’est pas important que vous puissiez calculer cela manuellement. Par contre, vous devez pouvoir interpréter sa valeur:</w:t>
      </w:r>
      <w:r>
        <w:br w:type="textWrapping"/>
      </w:r>
      <w:r>
        <w:rPr>
          <w:i/>
        </w:rPr>
        <w:t xml:space="preserve">Lorsque la distribution est parfaitement symétrique, le coefficient G1 vaut exactement 0.</w:t>
      </w:r>
      <w:r>
        <w:br w:type="textWrapping"/>
      </w:r>
      <w:r>
        <w:t xml:space="preserve">Lorsque la distribution présente une asymétrie positive, le coefficient G1 a une valeur supérieure à 0.</w:t>
      </w:r>
      <w:r>
        <w:br w:type="textWrapping"/>
      </w:r>
      <w:r>
        <w:t xml:space="preserve">*Lorsque la distribution présente une asymétrie négative, le coefficient G1 a une valeur inférieure à 0.</w:t>
      </w:r>
    </w:p>
    <w:p>
      <w:pPr>
        <w:pStyle w:val="Titre3"/>
      </w:pPr>
      <w:bookmarkStart w:id="94" w:name="mesure-daplatissement"/>
      <w:bookmarkEnd w:id="94"/>
      <w:r>
        <w:t xml:space="preserve">Mesure d’aplatissement</w:t>
      </w:r>
    </w:p>
    <w:p>
      <w:pPr>
        <w:pStyle w:val="FirstParagraph"/>
      </w:pPr>
      <w:r>
        <w:t xml:space="preserve">Pour correctement comprendre la mesure d’aplatissement, il faut savoir que la distribution de référence est la distribution normale (ou courbe en cloche, représentée sur la</w:t>
      </w:r>
      <w:r>
        <w:t xml:space="preserve"> </w:t>
      </w:r>
      <w:r>
        <w:rPr>
          <w:rStyle w:val="VerbatimChar"/>
        </w:rPr>
        <w:t xml:space="preserve">Figure 4.3</w:t>
      </w:r>
      <w:r>
        <w:t xml:space="preserve">)</w:t>
      </w:r>
    </w:p>
    <w:p>
      <w:pPr>
        <w:pStyle w:val="Corpsdetexte"/>
      </w:pPr>
      <w:r>
        <w:t xml:space="preserve">Figure 4.3</w:t>
      </w:r>
      <w:r>
        <w:br w:type="textWrapping"/>
      </w:r>
      <w:r>
        <w:rPr>
          <w:i/>
        </w:rPr>
        <w:t xml:space="preserve">Distribution normale (appelée aussi courbe en cloche)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5-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dont le kurtosis vaut 0 est une distribution qui n’est ni plus plate ni plus pointue que la fameuse courbe en cloche que l’on appelle</w:t>
      </w:r>
      <w:r>
        <w:t xml:space="preserve"> </w:t>
      </w:r>
      <w:r>
        <w:rPr>
          <w:b/>
        </w:rPr>
        <w:t xml:space="preserve">distribution normale</w:t>
      </w:r>
      <w:r>
        <w:t xml:space="preserve">. Une distribution dite</w:t>
      </w:r>
      <w:r>
        <w:t xml:space="preserve"> </w:t>
      </w:r>
      <w:r>
        <w:rPr>
          <w:b/>
        </w:rPr>
        <w:t xml:space="preserve">leptokurtique</w:t>
      </w:r>
      <w:r>
        <w:t xml:space="preserve"> </w:t>
      </w:r>
      <w:r>
        <w:t xml:space="preserve">est une distribution qui est plus pointue et avec des extrémités plus épaisses que la distribution normale. Enfin, une distribution dite</w:t>
      </w:r>
      <w:r>
        <w:t xml:space="preserve"> </w:t>
      </w:r>
      <w:r>
        <w:rPr>
          <w:b/>
        </w:rPr>
        <w:t xml:space="preserve">platikurtique</w:t>
      </w:r>
      <w:r>
        <w:t xml:space="preserve"> </w:t>
      </w:r>
      <w:r>
        <w:t xml:space="preserve">est une distribution aplatie, dont le centre et les extrémités sont moins fournies que ceux d’une distribution normale.</w:t>
      </w:r>
    </w:p>
    <w:p>
      <w:pPr>
        <w:pStyle w:val="Corpsdetexte"/>
      </w:pPr>
      <w:r>
        <w:t xml:space="preserve">Figure 4.4</w:t>
      </w:r>
      <w:r>
        <w:br w:type="textWrapping"/>
      </w:r>
      <w:r>
        <w:rPr>
          <w:i/>
        </w:rPr>
        <w:t xml:space="preserve">Exemple de distributions d’aplatissement normale, leptokurtique et platikurtiques</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6-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 nouveau, il existe plusieurs mesures de kurtosis. Voici celle proposée par Pearson:</w:t>
      </w:r>
    </w:p>
    <w:p>
      <w:pPr>
        <w:pStyle w:val="Corpsdetexte"/>
      </w:pPr>
      <m:oMathPara>
        <m:oMathParaPr>
          <m:jc m:val="center"/>
        </m:oMathParaPr>
        <m:oMath>
          <m:r>
            <m:t>G</m:t>
          </m:r>
          <m:r>
            <m:t>2</m:t>
          </m:r>
          <m:r>
            <m:t>=</m:t>
          </m:r>
          <m:f>
            <m:fPr>
              <m:type m:val="bar"/>
            </m:fPr>
            <m:num>
              <m:sSub>
                <m:e>
                  <m:r>
                    <m:t>M</m:t>
                  </m:r>
                </m:e>
                <m:sub>
                  <m:r>
                    <m:t>4</m:t>
                  </m:r>
                </m:sub>
              </m:sSub>
            </m:num>
            <m:den>
              <m:sSup>
                <m:e>
                  <m:r>
                    <m:t>S</m:t>
                  </m:r>
                </m:e>
                <m:sup>
                  <m:r>
                    <m:t>4</m:t>
                  </m:r>
                </m:sup>
              </m:sSup>
            </m:den>
          </m:f>
          <m:r>
            <m:t>−</m:t>
          </m:r>
          <m:r>
            <m:t>3</m:t>
          </m:r>
        </m:oMath>
      </m:oMathPara>
    </w:p>
    <w:p>
      <w:pPr>
        <w:pStyle w:val="FirstParagraph"/>
      </w:pPr>
      <m:oMathPara>
        <m:oMathParaPr>
          <m:jc m:val="center"/>
        </m:oMathParaPr>
        <m:oMath>
          <m:r>
            <m:t>a</m:t>
          </m:r>
          <m:r>
            <m:t>v</m:t>
          </m:r>
          <m:r>
            <m:t>e</m:t>
          </m:r>
          <m:r>
            <m:t>c</m:t>
          </m:r>
          <m:r>
            <m:t>,</m:t>
          </m:r>
          <m:sSub>
            <m:e>
              <m:r>
                <m:t>M</m:t>
              </m:r>
            </m:e>
            <m:sub>
              <m:r>
                <m:t>4</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4</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e>
          </m:rad>
        </m:oMath>
      </m:oMathPara>
    </w:p>
    <w:p>
      <w:pPr>
        <w:pStyle w:val="FirstParagraph"/>
      </w:pPr>
      <w:r>
        <w:t xml:space="preserve">De même que pour la mesure d’asymétrie, il n’est pas important que vous puissiez calculer cela manuellement. Par contre, vous devez pouvoir interpréter sa valeur:</w:t>
      </w:r>
      <w:r>
        <w:br w:type="textWrapping"/>
      </w:r>
      <w:r>
        <w:rPr>
          <w:i/>
        </w:rPr>
        <w:t xml:space="preserve">Lorsque la distribution a l’aplatissement d’une distribution normale, le coefficient G2 vaut exactement 0.</w:t>
      </w:r>
      <w:r>
        <w:br w:type="textWrapping"/>
      </w:r>
      <w:r>
        <w:t xml:space="preserve">Lorsque la distribution est leptokurtique, le coefficient G2 a une valeur supérieure à 0.</w:t>
      </w:r>
      <w:r>
        <w:br w:type="textWrapping"/>
      </w:r>
      <w:r>
        <w:t xml:space="preserve">*Lorsque la distribution est platikurtique, le coefficient G2 a une valeur inférieure à 0.</w:t>
      </w:r>
    </w:p>
    <w:p>
      <w:pPr>
        <w:pStyle w:val="Titre6"/>
      </w:pPr>
      <w:bookmarkStart w:id="97" w:name="pagebreak-6"/>
      <w:bookmarkEnd w:id="97"/>
      <w:r>
        <w:t xml:space="preserve">Pagebreak</w:t>
      </w:r>
    </w:p>
    <w:p>
      <w:pPr>
        <w:pStyle w:val="Titre1"/>
      </w:pPr>
      <w:bookmarkStart w:id="98" w:name="chapitre-5-relation-entre-deux-variables-continues-le-coefficient-r-de-pearson"/>
      <w:bookmarkEnd w:id="98"/>
      <w:r>
        <w:t xml:space="preserve">Chapitre 5: relation entre deux variables continues: le coefficient r de Pearson</w:t>
      </w:r>
    </w:p>
    <w:p>
      <w:pPr>
        <w:pStyle w:val="FirstParagraph"/>
      </w:pPr>
      <w:r>
        <w:t xml:space="preserve">Jusque là, nous avons passé beaucoup de temps à étudier comment il était possible de représenter graphiquement ou algébriquement les variables prises isolément. Le dernier objectif de ce cours est d’étudier comment deux variables peuvent varier</w:t>
      </w:r>
      <w:r>
        <w:t xml:space="preserve"> </w:t>
      </w:r>
      <w:r>
        <w:rPr>
          <w:b/>
        </w:rPr>
        <w:t xml:space="preserve">en même temps</w:t>
      </w:r>
      <w:r>
        <w:t xml:space="preserve">, ou</w:t>
      </w:r>
      <w:r>
        <w:t xml:space="preserve"> </w:t>
      </w:r>
      <w:r>
        <w:rPr>
          <w:b/>
        </w:rPr>
        <w:t xml:space="preserve">covarier</w:t>
      </w:r>
      <w:r>
        <w:t xml:space="preserve">. Cela relève de la statistique</w:t>
      </w:r>
      <w:r>
        <w:t xml:space="preserve"> </w:t>
      </w:r>
      <w:r>
        <w:rPr>
          <w:b/>
        </w:rPr>
        <w:t xml:space="preserve">bivariée</w:t>
      </w:r>
      <w:r>
        <w:t xml:space="preserve"> </w:t>
      </w:r>
      <w:r>
        <w:t xml:space="preserve">(par opposition à statistique</w:t>
      </w:r>
      <w:r>
        <w:t xml:space="preserve"> </w:t>
      </w:r>
      <w:r>
        <w:rPr>
          <w:b/>
        </w:rPr>
        <w:t xml:space="preserve">univariée</w:t>
      </w:r>
      <w:r>
        <w:t xml:space="preserve">, lorsqu’on les étudie séparément les unes des autres).</w:t>
      </w:r>
    </w:p>
    <w:p>
      <w:pPr>
        <w:pStyle w:val="Corpsdetexte"/>
      </w:pPr>
      <w:r>
        <w:t xml:space="preserve">Revenons à l’exemple de la Table 4.3 dans laquelle nous avions étudié la note de 10 étudiants à deux cours: le cours de mathématiques et le cours de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Nous avons déjà précédemment déterminé dans quelle mesure les scores de chacun des cours variaient d’un individu à l’autre (nous avions trouvé, respectivement pour les cours de mathématiques et de français, des variances de</w:t>
      </w:r>
      <w:r>
        <w:t xml:space="preserve"> </w:t>
      </w:r>
      <w:r>
        <w:t xml:space="preserve">2.55 et 0.45 et donc par conséquent, des écart-types de respectivement 1.5149257 et 0.6363961). On se demande à présent s’il existe un</w:t>
      </w:r>
      <w:r>
        <w:t xml:space="preserve"> </w:t>
      </w:r>
      <w:r>
        <w:rPr>
          <w:b/>
        </w:rPr>
        <w:t xml:space="preserve">lien</w:t>
      </w:r>
      <w:r>
        <w:t xml:space="preserve"> </w:t>
      </w:r>
      <w:r>
        <w:t xml:space="preserve">entre la manière dont ces deux cours varient d’un sujet à l’autre. Autrement dit, on se demande si ces deux variables</w:t>
      </w:r>
      <w:r>
        <w:t xml:space="preserve"> </w:t>
      </w:r>
      <w:r>
        <w:rPr>
          <w:b/>
        </w:rPr>
        <w:t xml:space="preserve">covarient</w:t>
      </w:r>
      <w:r>
        <w:t xml:space="preserve">.</w:t>
      </w:r>
    </w:p>
    <w:p>
      <w:pPr>
        <w:pStyle w:val="Titre2"/>
      </w:pPr>
      <w:bookmarkStart w:id="99" w:name="representation-graphique-de-la-relation-entre-deux-variables"/>
      <w:bookmarkEnd w:id="99"/>
      <w:r>
        <w:t xml:space="preserve">Représentation graphique de la relation entre deux variables</w:t>
      </w:r>
    </w:p>
    <w:p>
      <w:pPr>
        <w:pStyle w:val="FirstParagraph"/>
      </w:pPr>
      <w:r>
        <w:t xml:space="preserve">Une première manière d’appréhender la question est de se représenter graphiquement la situation. Lorsque l’on souhaite pouvoir étudier le lien entre deux variables, la meilleure représentation graphique consiste à tracer deux axes perpendiculaires, l’un représentant l’une des deux variables, l’autre représentant l’autre variable.</w:t>
      </w:r>
    </w:p>
    <w:p>
      <w:pPr>
        <w:pStyle w:val="Corpsdetexte"/>
      </w:pPr>
      <w:r>
        <w:t xml:space="preserve">La Figure 5.1 montre le graphe qui reprend les valeurs aux cours de mathématiques et de français les unes par rapport aux autres. On y voit un nuage de points, chacun de ceux-ci ayant une double coordonnée: sur l’axe des x, et sur l’axe des y. Par exemple, le point entouré correspond à un individu ayant obtenu la note 3.5 au cours de mathématiques (coordonnée sur l’axe des x) et 4.5 au cours de francais (coordonnée sur l’axe des y).</w:t>
      </w:r>
    </w:p>
    <w:p>
      <w:pPr>
        <w:pStyle w:val="Corpsdetexte"/>
      </w:pPr>
      <w:r>
        <w:t xml:space="preserve">Figure 5.1</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8-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En observant le nuage de points dans son ensemble, il apparait que celui-ci n’est pas du tout aléatoire. Globalement, les individus ayant les meilleurs points en mathématiques semblent également avoir des points élevés en français. A contrario, ceux qui ont les moins bon points en mathématiques semblent avoir également de moins bons points en français.</w:t>
      </w:r>
    </w:p>
    <w:p>
      <w:pPr>
        <w:pStyle w:val="Corpsdetexte"/>
      </w:pPr>
      <w:r>
        <w:t xml:space="preserve">Lorsque les points d’un nuage semblent se répartir naturellement autour d’une droite, on parle de</w:t>
      </w:r>
      <w:r>
        <w:t xml:space="preserve"> </w:t>
      </w:r>
      <w:r>
        <w:rPr>
          <w:b/>
        </w:rPr>
        <w:t xml:space="preserve">relation linéaire</w:t>
      </w:r>
      <w:r>
        <w:t xml:space="preserve">. Face à une telle configuration, le meilleur moyen de représenter l’allure générale de la corrélation est de tracer la droite qui se rapproche le plus possible de l’ensemble des points et que l’on appelle la</w:t>
      </w:r>
      <w:r>
        <w:t xml:space="preserve"> </w:t>
      </w:r>
      <w:r>
        <w:rPr>
          <w:b/>
        </w:rPr>
        <w:t xml:space="preserve">droite de régression</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9-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constate que l’ensemble des points semblent se rapprocher d’une droite croissante. Cela signifie que le score des deux variables tend à varier dans le même sens: lorsque la note au cours de mathématiques augmente, il en est de même pour la note au cours de français. On parle alors de relation linéaire</w:t>
      </w:r>
      <w:r>
        <w:t xml:space="preserve"> </w:t>
      </w:r>
      <w:r>
        <w:rPr>
          <w:b/>
        </w:rPr>
        <w:t xml:space="preserve">positive</w:t>
      </w:r>
      <w:r>
        <w:t xml:space="preserve">.</w:t>
      </w:r>
    </w:p>
    <w:p>
      <w:pPr>
        <w:pStyle w:val="Corpsdetexte"/>
      </w:pPr>
      <w:r>
        <w:t xml:space="preserve">Attention: il s’agit d’une</w:t>
      </w:r>
      <w:r>
        <w:t xml:space="preserve"> </w:t>
      </w:r>
      <w:r>
        <w:rPr>
          <w:b/>
        </w:rPr>
        <w:t xml:space="preserve">tendance</w:t>
      </w:r>
      <w:r>
        <w:t xml:space="preserve"> </w:t>
      </w:r>
      <w:r>
        <w:t xml:space="preserve">des données. Autrement dit, ce n’est pas nécessairement vrai pour chaque point du nuage. Regardez les deux points entourés dans la reproduction du nuage de points ci-dessous. Le point le plus à gauche dans le cercle représente un étudiant ayant obtenu une note de 4 en mathématiques, et une note de 6 en français. Le point le plus à droite dans le cercle représente un étudiant ayant obtenu une note de 4.5 en mathématiques, soit une note plus élevée que le premier sujet. Pourtant, la note qu’il a obtenu en français est plus faible, puisqu’elle ne vaut que 5.5. Le seul cas pour lequel on pourra affirmer avec certitude que la relation est vrai pour chaque point du nuage sera celui où l’entièreté des points seront parfaitement alignés (on parlera alors de relation linéaire positive</w:t>
      </w:r>
      <w:r>
        <w:t xml:space="preserve"> </w:t>
      </w:r>
      <w:r>
        <w:rPr>
          <w:b/>
        </w:rPr>
        <w:t xml:space="preserve">parfaite</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0-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Imaginons à présent que nous souhaitions étudier la relation entre le cours de mathématiques et un cours de géographie suivi par les 10 mêmes étudiants.</w:t>
      </w:r>
    </w:p>
    <w:p>
      <w:pPr>
        <w:pStyle w:val="Corpsdetexte"/>
      </w:pPr>
      <w:r>
        <w:t xml:space="preserve">Table 4.6</w:t>
      </w:r>
      <w:r>
        <w:br w:type="textWrapping"/>
      </w:r>
      <w:r>
        <w:rPr>
          <w:i/>
        </w:rPr>
        <w:t xml:space="preserve">Notes (/10) obtenues par 10 des étudiants en mathématiques et en géographie</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geographie(</w:t>
            </w:r>
            <m:oMath>
              <m:sSub>
                <m:e>
                  <m:r>
                    <m:t>W</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0.5</w:t>
            </w:r>
          </w:p>
        </w:tc>
      </w:tr>
      <w:tr>
        <w:tc>
          <w:p>
            <w:pPr>
              <w:pStyle w:val="Compact"/>
              <w:jc w:val="center"/>
            </w:pPr>
            <w:r>
              <w:t xml:space="preserve">2</w:t>
            </w:r>
          </w:p>
        </w:tc>
        <w:tc>
          <w:p>
            <w:pPr>
              <w:pStyle w:val="Compact"/>
              <w:jc w:val="center"/>
            </w:pPr>
            <w:r>
              <w:t xml:space="preserve">4.0</w:t>
            </w:r>
          </w:p>
        </w:tc>
        <w:tc>
          <w:p>
            <w:pPr>
              <w:pStyle w:val="Compact"/>
              <w:jc w:val="center"/>
            </w:pPr>
            <w:r>
              <w:t xml:space="preserve">7.0</w:t>
            </w:r>
          </w:p>
        </w:tc>
      </w:tr>
      <w:tr>
        <w:tc>
          <w:p>
            <w:pPr>
              <w:pStyle w:val="Compact"/>
              <w:jc w:val="center"/>
            </w:pPr>
            <w:r>
              <w:t xml:space="preserve">3</w:t>
            </w:r>
          </w:p>
        </w:tc>
        <w:tc>
          <w:p>
            <w:pPr>
              <w:pStyle w:val="Compact"/>
              <w:jc w:val="center"/>
            </w:pPr>
            <w:r>
              <w:t xml:space="preserve">4.5</w:t>
            </w:r>
          </w:p>
        </w:tc>
        <w:tc>
          <w:p>
            <w:pPr>
              <w:pStyle w:val="Compact"/>
              <w:jc w:val="center"/>
            </w:pPr>
            <w:r>
              <w:t xml:space="preserve">6.5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6.5</w:t>
            </w:r>
          </w:p>
        </w:tc>
      </w:tr>
      <w:tr>
        <w:tc>
          <w:p>
            <w:pPr>
              <w:pStyle w:val="Compact"/>
              <w:jc w:val="center"/>
            </w:pPr>
            <w:r>
              <w:t xml:space="preserve">6</w:t>
            </w:r>
          </w:p>
        </w:tc>
        <w:tc>
          <w:p>
            <w:pPr>
              <w:pStyle w:val="Compact"/>
              <w:jc w:val="center"/>
            </w:pPr>
            <w:r>
              <w:t xml:space="preserve">6.5</w:t>
            </w:r>
          </w:p>
        </w:tc>
        <w:tc>
          <w:p>
            <w:pPr>
              <w:pStyle w:val="Compact"/>
              <w:jc w:val="center"/>
            </w:pPr>
            <w:r>
              <w:t xml:space="preserve">2.5</w:t>
            </w:r>
          </w:p>
        </w:tc>
      </w:tr>
      <w:tr>
        <w:tc>
          <w:p>
            <w:pPr>
              <w:pStyle w:val="Compact"/>
              <w:jc w:val="center"/>
            </w:pPr>
            <w:r>
              <w:t xml:space="preserve">7</w:t>
            </w:r>
          </w:p>
        </w:tc>
        <w:tc>
          <w:p>
            <w:pPr>
              <w:pStyle w:val="Compact"/>
              <w:jc w:val="center"/>
            </w:pPr>
            <w:r>
              <w:t xml:space="preserve">7.0</w:t>
            </w:r>
          </w:p>
        </w:tc>
        <w:tc>
          <w:p>
            <w:pPr>
              <w:pStyle w:val="Compact"/>
              <w:jc w:val="center"/>
            </w:pPr>
            <w:r>
              <w:t xml:space="preserve">3.0</w:t>
            </w:r>
          </w:p>
        </w:tc>
      </w:tr>
      <w:tr>
        <w:tc>
          <w:p>
            <w:pPr>
              <w:pStyle w:val="Compact"/>
              <w:jc w:val="center"/>
            </w:pPr>
            <w:r>
              <w:t xml:space="preserve">8</w:t>
            </w:r>
          </w:p>
        </w:tc>
        <w:tc>
          <w:p>
            <w:pPr>
              <w:pStyle w:val="Compact"/>
              <w:jc w:val="center"/>
            </w:pPr>
            <w:r>
              <w:t xml:space="preserve">5.0</w:t>
            </w:r>
          </w:p>
        </w:tc>
        <w:tc>
          <w:p>
            <w:pPr>
              <w:pStyle w:val="Compact"/>
              <w:jc w:val="center"/>
            </w:pPr>
            <w:r>
              <w:t xml:space="preserve">5.0</w:t>
            </w:r>
          </w:p>
        </w:tc>
      </w:tr>
      <w:tr>
        <w:tc>
          <w:p>
            <w:pPr>
              <w:pStyle w:val="Compact"/>
              <w:jc w:val="center"/>
            </w:pPr>
            <w:r>
              <w:t xml:space="preserve">9</w:t>
            </w:r>
          </w:p>
        </w:tc>
        <w:tc>
          <w:p>
            <w:pPr>
              <w:pStyle w:val="Compact"/>
              <w:jc w:val="center"/>
            </w:pPr>
            <w:r>
              <w:t xml:space="preserve">7.5</w:t>
            </w:r>
          </w:p>
        </w:tc>
        <w:tc>
          <w:p>
            <w:pPr>
              <w:pStyle w:val="Compact"/>
              <w:jc w:val="center"/>
            </w:pPr>
            <w:r>
              <w:t xml:space="preserve">2.5</w:t>
            </w:r>
          </w:p>
        </w:tc>
      </w:tr>
      <w:tr>
        <w:tc>
          <w:p>
            <w:pPr>
              <w:pStyle w:val="Compact"/>
              <w:jc w:val="center"/>
            </w:pPr>
            <w:r>
              <w:t xml:space="preserve">10</w:t>
            </w:r>
          </w:p>
        </w:tc>
        <w:tc>
          <w:p>
            <w:pPr>
              <w:pStyle w:val="Compact"/>
              <w:jc w:val="center"/>
            </w:pPr>
            <w:r>
              <w:t xml:space="preserve">7.5</w:t>
            </w:r>
          </w:p>
        </w:tc>
        <w:tc>
          <w:p>
            <w:pPr>
              <w:pStyle w:val="Compact"/>
              <w:jc w:val="center"/>
            </w:pPr>
            <w:r>
              <w:t xml:space="preserve">2.5</w:t>
            </w:r>
          </w:p>
        </w:tc>
      </w:tr>
    </w:tbl>
    <w:p>
      <w:pPr>
        <w:pStyle w:val="Corpsdetexte"/>
      </w:pPr>
      <w:r>
        <w:t xml:space="preserve">Comme précédemment, l’étude du nuage de points et de la droite de régression associée aidera à mieux se représenter la relation entre les deux variables (voir</w:t>
      </w:r>
      <w:r>
        <w:t xml:space="preserve"> </w:t>
      </w:r>
      <w:r>
        <w:rPr>
          <w:rStyle w:val="VerbatimChar"/>
        </w:rPr>
        <w:t xml:space="preserve">r</w:t>
      </w:r>
      <w:r>
        <w:t xml:space="preserve">).</w:t>
      </w:r>
    </w:p>
    <w:p>
      <w:pPr>
        <w:pStyle w:val="Corpsdetexte"/>
      </w:pPr>
      <w:r>
        <w:t xml:space="preserve">Figure 5.3</w:t>
      </w:r>
      <w:r>
        <w:br w:type="textWrapping"/>
      </w:r>
      <w:r>
        <w:rPr>
          <w:i/>
        </w:rPr>
        <w:t xml:space="preserve">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3-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Cette fois, les points semblent se rapprocher d’une droite de régression décroissante. Cela signifie que le score des deux variables tend à varier dans des sens opposés: lorsque score de mathématiques augmente, celui de géographique diminue, et réciproquement). On parle alors de relation linéaire négative entre deux variables. De même qu’expliqué précédemment, lorsque les points seront parfaitement alignés, on parlera alors de relation linéaire négative</w:t>
      </w:r>
      <w:r>
        <w:t xml:space="preserve"> </w:t>
      </w:r>
      <w:r>
        <w:rPr>
          <w:b/>
        </w:rPr>
        <w:t xml:space="preserve">parfaite</w:t>
      </w:r>
      <w:r>
        <w:t xml:space="preserve">.</w:t>
      </w:r>
    </w:p>
    <w:p>
      <w:pPr>
        <w:pStyle w:val="Corpsdetexte"/>
      </w:pPr>
      <w:r>
        <w:t xml:space="preserve">Comme dernier cas de figure, imaginons que nous souhaitions étudier la relation entre le cours d’éducation physique et d’anglais, toujours suivi par les 10 mêmes étudiants.</w:t>
      </w:r>
    </w:p>
    <w:p>
      <w:pPr>
        <w:pStyle w:val="Corpsdetexte"/>
      </w:pPr>
      <w:r>
        <w:t xml:space="preserve">Table 4.6</w:t>
      </w:r>
      <w:r>
        <w:br w:type="textWrapping"/>
      </w:r>
      <w:r>
        <w:rPr>
          <w:i/>
        </w:rPr>
        <w:t xml:space="preserve">Notes (/10) obtenues par 10 des étudiants en géographie et en anglais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education physique(</w:t>
            </w:r>
            <m:oMath>
              <m:sSub>
                <m:e>
                  <m:r>
                    <m:t>V</m:t>
                  </m:r>
                </m:e>
                <m:sub>
                  <m:r>
                    <m:t>i</m:t>
                  </m:r>
                </m:sub>
              </m:sSub>
              <m:r>
                <m:t>)</m:t>
              </m:r>
            </m:oMath>
          </w:p>
        </w:tc>
        <w:tc>
          <w:tcPr>
            <w:tcBorders>
              <w:bottom w:val="single"/>
            </w:tcBorders>
            <w:vAlign w:val="bottom"/>
          </w:tcPr>
          <w:p>
            <w:pPr>
              <w:pStyle w:val="Compact"/>
              <w:jc w:val="center"/>
            </w:pPr>
            <w:r>
              <w:t xml:space="preserve">anglais(</w:t>
            </w:r>
            <m:oMath>
              <m:sSub>
                <m:e>
                  <m:r>
                    <m:t>V</m:t>
                  </m:r>
                </m:e>
                <m:sub>
                  <m:r>
                    <m:t>i</m:t>
                  </m:r>
                </m:sub>
              </m:sSub>
              <m:r>
                <m:t>)</m:t>
              </m:r>
            </m:oMath>
          </w:p>
        </w:tc>
      </w:tr>
      <w:tr>
        <w:tc>
          <w:p>
            <w:pPr>
              <w:pStyle w:val="Compact"/>
              <w:jc w:val="center"/>
            </w:pPr>
            <w:r>
              <w:t xml:space="preserve">1</w:t>
            </w:r>
          </w:p>
        </w:tc>
        <w:tc>
          <w:p>
            <w:pPr>
              <w:pStyle w:val="Compact"/>
              <w:jc w:val="center"/>
            </w:pPr>
            <w:r>
              <w:t xml:space="preserve">5.5</w:t>
            </w:r>
          </w:p>
        </w:tc>
        <w:tc>
          <w:p>
            <w:pPr>
              <w:pStyle w:val="Compact"/>
              <w:jc w:val="center"/>
            </w:pPr>
            <w:r>
              <w:t xml:space="preserve">10</w:t>
            </w:r>
          </w:p>
        </w:tc>
      </w:tr>
      <w:tr>
        <w:tc>
          <w:p>
            <w:pPr>
              <w:pStyle w:val="Compact"/>
              <w:jc w:val="center"/>
            </w:pPr>
            <w:r>
              <w:t xml:space="preserve">2</w:t>
            </w:r>
          </w:p>
        </w:tc>
        <w:tc>
          <w:p>
            <w:pPr>
              <w:pStyle w:val="Compact"/>
              <w:jc w:val="center"/>
            </w:pPr>
            <w:r>
              <w:t xml:space="preserve">9.0</w:t>
            </w:r>
          </w:p>
        </w:tc>
        <w:tc>
          <w:p>
            <w:pPr>
              <w:pStyle w:val="Compact"/>
              <w:jc w:val="center"/>
            </w:pPr>
            <w:r>
              <w:t xml:space="preserve">5</w:t>
            </w:r>
          </w:p>
        </w:tc>
      </w:tr>
      <w:tr>
        <w:tc>
          <w:p>
            <w:pPr>
              <w:pStyle w:val="Compact"/>
              <w:jc w:val="center"/>
            </w:pPr>
            <w:r>
              <w:t xml:space="preserve">3</w:t>
            </w:r>
          </w:p>
        </w:tc>
        <w:tc>
          <w:p>
            <w:pPr>
              <w:pStyle w:val="Compact"/>
              <w:jc w:val="center"/>
            </w:pPr>
            <w:r>
              <w:t xml:space="preserve">6.0</w:t>
            </w:r>
          </w:p>
        </w:tc>
        <w:tc>
          <w:p>
            <w:pPr>
              <w:pStyle w:val="Compact"/>
              <w:jc w:val="center"/>
            </w:pPr>
            <w:r>
              <w:t xml:space="preserve">6</w:t>
            </w:r>
          </w:p>
        </w:tc>
      </w:tr>
      <w:tr>
        <w:tc>
          <w:p>
            <w:pPr>
              <w:pStyle w:val="Compact"/>
              <w:jc w:val="center"/>
            </w:pPr>
            <w:r>
              <w:t xml:space="preserve">4</w:t>
            </w:r>
          </w:p>
        </w:tc>
        <w:tc>
          <w:p>
            <w:pPr>
              <w:pStyle w:val="Compact"/>
              <w:jc w:val="center"/>
            </w:pPr>
            <w:r>
              <w:t xml:space="preserve">6.0</w:t>
            </w:r>
          </w:p>
        </w:tc>
        <w:tc>
          <w:p>
            <w:pPr>
              <w:pStyle w:val="Compact"/>
              <w:jc w:val="center"/>
            </w:pPr>
            <w:r>
              <w:t xml:space="preserve">7</w:t>
            </w:r>
          </w:p>
        </w:tc>
      </w:tr>
      <w:tr>
        <w:tc>
          <w:p>
            <w:pPr>
              <w:pStyle w:val="Compact"/>
              <w:jc w:val="center"/>
            </w:pPr>
            <w:r>
              <w:t xml:space="preserve">5</w:t>
            </w:r>
          </w:p>
        </w:tc>
        <w:tc>
          <w:p>
            <w:pPr>
              <w:pStyle w:val="Compact"/>
              <w:jc w:val="center"/>
            </w:pPr>
            <w:r>
              <w:t xml:space="preserve">6.5</w:t>
            </w:r>
          </w:p>
        </w:tc>
        <w:tc>
          <w:p>
            <w:pPr>
              <w:pStyle w:val="Compact"/>
              <w:jc w:val="center"/>
            </w:pPr>
            <w:r>
              <w:t xml:space="preserve">5</w:t>
            </w:r>
          </w:p>
        </w:tc>
      </w:tr>
      <w:tr>
        <w:tc>
          <w:p>
            <w:pPr>
              <w:pStyle w:val="Compact"/>
              <w:jc w:val="center"/>
            </w:pPr>
            <w:r>
              <w:t xml:space="preserve">6</w:t>
            </w:r>
          </w:p>
        </w:tc>
        <w:tc>
          <w:p>
            <w:pPr>
              <w:pStyle w:val="Compact"/>
              <w:jc w:val="center"/>
            </w:pPr>
            <w:r>
              <w:t xml:space="preserve">6.5</w:t>
            </w:r>
          </w:p>
        </w:tc>
        <w:tc>
          <w:p>
            <w:pPr>
              <w:pStyle w:val="Compact"/>
              <w:jc w:val="center"/>
            </w:pPr>
            <w:r>
              <w:t xml:space="preserve">8</w:t>
            </w:r>
          </w:p>
        </w:tc>
      </w:tr>
      <w:tr>
        <w:tc>
          <w:p>
            <w:pPr>
              <w:pStyle w:val="Compact"/>
              <w:jc w:val="center"/>
            </w:pPr>
            <w:r>
              <w:t xml:space="preserve">7</w:t>
            </w:r>
          </w:p>
        </w:tc>
        <w:tc>
          <w:p>
            <w:pPr>
              <w:pStyle w:val="Compact"/>
              <w:jc w:val="center"/>
            </w:pPr>
            <w:r>
              <w:t xml:space="preserve">8.0</w:t>
            </w:r>
          </w:p>
        </w:tc>
        <w:tc>
          <w:p>
            <w:pPr>
              <w:pStyle w:val="Compact"/>
              <w:jc w:val="center"/>
            </w:pPr>
            <w:r>
              <w:t xml:space="preserve">7</w:t>
            </w:r>
          </w:p>
        </w:tc>
      </w:tr>
      <w:tr>
        <w:tc>
          <w:p>
            <w:pPr>
              <w:pStyle w:val="Compact"/>
              <w:jc w:val="center"/>
            </w:pPr>
            <w:r>
              <w:t xml:space="preserve">8</w:t>
            </w:r>
          </w:p>
        </w:tc>
        <w:tc>
          <w:p>
            <w:pPr>
              <w:pStyle w:val="Compact"/>
              <w:jc w:val="center"/>
            </w:pPr>
            <w:r>
              <w:t xml:space="preserve">8.5</w:t>
            </w:r>
          </w:p>
        </w:tc>
        <w:tc>
          <w:p>
            <w:pPr>
              <w:pStyle w:val="Compact"/>
              <w:jc w:val="center"/>
            </w:pPr>
            <w:r>
              <w:t xml:space="preserve">9</w:t>
            </w:r>
          </w:p>
        </w:tc>
      </w:tr>
      <w:tr>
        <w:tc>
          <w:p>
            <w:pPr>
              <w:pStyle w:val="Compact"/>
              <w:jc w:val="center"/>
            </w:pPr>
            <w:r>
              <w:t xml:space="preserve">9</w:t>
            </w:r>
          </w:p>
        </w:tc>
        <w:tc>
          <w:p>
            <w:pPr>
              <w:pStyle w:val="Compact"/>
              <w:jc w:val="center"/>
            </w:pPr>
            <w:r>
              <w:t xml:space="preserve">8.5</w:t>
            </w:r>
          </w:p>
        </w:tc>
        <w:tc>
          <w:p>
            <w:pPr>
              <w:pStyle w:val="Compact"/>
              <w:jc w:val="center"/>
            </w:pPr>
            <w:r>
              <w:t xml:space="preserve">8</w:t>
            </w:r>
          </w:p>
        </w:tc>
      </w:tr>
      <w:tr>
        <w:tc>
          <w:p>
            <w:pPr>
              <w:pStyle w:val="Compact"/>
              <w:jc w:val="center"/>
            </w:pPr>
            <w:r>
              <w:t xml:space="preserve">10</w:t>
            </w:r>
          </w:p>
        </w:tc>
        <w:tc>
          <w:p>
            <w:pPr>
              <w:pStyle w:val="Compact"/>
              <w:jc w:val="center"/>
            </w:pPr>
            <w:r>
              <w:t xml:space="preserve">9.0</w:t>
            </w:r>
          </w:p>
        </w:tc>
        <w:tc>
          <w:p>
            <w:pPr>
              <w:pStyle w:val="Compact"/>
              <w:jc w:val="center"/>
            </w:pPr>
            <w:r>
              <w:t xml:space="preserve">9</w:t>
            </w:r>
          </w:p>
        </w:tc>
      </w:tr>
    </w:tbl>
    <w:p>
      <w:pPr>
        <w:pStyle w:val="Corpsdetexte"/>
      </w:pPr>
      <w:r>
        <w:t xml:space="preserve">Contrairement au deux situations précédentes, il ne semble pas possible de résumer correctement le nuage de points par une droite croissante ou décroissante.</w:t>
      </w:r>
      <w:r>
        <w:t xml:space="preserve"> </w:t>
      </w:r>
      <w:r>
        <w:t xml:space="preserve">Il ne semble pas y avoir de relation linéaire entre les notes obtenues au cours de géographiques et celles obtenues au cours d’histoire.</w:t>
      </w:r>
    </w:p>
    <w:p>
      <w:pPr>
        <w:pStyle w:val="Corpsdetexte"/>
      </w:pPr>
      <w:r>
        <w:t xml:space="preserve">Si l’on essaye malgré tout de résumer le nuage de points par la droite qui se rapproche le plus près possible de tous les points, on trouve une droite de pente pratiquement nulle. C’est ce qui arrive en absence de</w:t>
      </w:r>
      <w:r>
        <w:t xml:space="preserve"> </w:t>
      </w:r>
      <w:r>
        <w:rPr>
          <w:b/>
        </w:rPr>
        <w:t xml:space="preserve">relation linéaire</w:t>
      </w:r>
      <w:r>
        <w:t xml:space="preserve"> </w:t>
      </w:r>
      <w:r>
        <w:t xml:space="preserve">entre deux variables.</w:t>
      </w:r>
    </w:p>
    <w:p>
      <w:pPr>
        <w:pStyle w:val="Corpsdetexte"/>
      </w:pPr>
      <w:r>
        <w:t xml:space="preserve">Figure 5.4</w:t>
      </w:r>
      <w:r>
        <w:br w:type="textWrapping"/>
      </w:r>
      <w:r>
        <w:rPr>
          <w:i/>
        </w:rPr>
        <w:t xml:space="preserve">Nuage de points représentant la relation entre la note à un cours de géographie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6-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Depuis le début de ce chapitre, le terme</w:t>
      </w:r>
      <w:r>
        <w:t xml:space="preserve"> </w:t>
      </w:r>
      <w:r>
        <w:t xml:space="preserve">“</w:t>
      </w:r>
      <w:r>
        <w:t xml:space="preserve">linéaire</w:t>
      </w:r>
      <w:r>
        <w:t xml:space="preserve">”</w:t>
      </w:r>
      <w:r>
        <w:t xml:space="preserve"> </w:t>
      </w:r>
      <w:r>
        <w:t xml:space="preserve">revient régulièrement, parce que nous essayons de résumer le nuage de points par une droite. Il est important de bien comprendre qu’il peut exister une relation autre que linéaire entre deux variables. Imaginons la Figure 5.5 qui représente la relation entre le temps d’études du cours de statistiques et le résultat à l’examen.</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unnamed-chunk-57-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pourrait imaginer qu’en commençant à étudier, assimiler tous ces nouveaux concepts demande beaucoup d’énergie et de temps, si bien que parmi les étudiants qui n’ont étudié que quelques heures, une augmentation du temps d’étude ne fait augmenter la note que faiblement. Par contre, chez ceux qui ont dépassé la période frustrante de familiarisation avec toutes ces notations mathématiques compliquées on observe que chaque nouvelle heure consacrée à étudier ce cours amène à une forte augmentation de plus en plus importante de la note finale. Le lien entre les deux matières est indéniable, par contre, il ne sera que mal représenté par une droite. Ceci est une illustration de relation</w:t>
      </w:r>
      <w:r>
        <w:t xml:space="preserve"> </w:t>
      </w:r>
      <w:r>
        <w:rPr>
          <w:b/>
        </w:rPr>
        <w:t xml:space="preserve">non linéaire</w:t>
      </w:r>
      <w:r>
        <w:t xml:space="preserve">. Ce type de relation ne fait pas partie de la matière que verrons dans ce cours. Il est cependant important de s’en rendre compte. Cela a des implications bien réelles: une absence de relation se traduira toujours par une relation linéaire nulle. Par contre, une relation linéaire nulle ne signifie pas forcément qu’il n’y a pas de relation entre deux variables: il est toujours possible qu’il existe une relation autre que linéaire. Or, le seul moyen de s’en rendre compte, c’est de réalisation un nuage de points.</w:t>
      </w:r>
    </w:p>
    <w:p>
      <w:pPr>
        <w:pStyle w:val="Titre2"/>
      </w:pPr>
      <w:bookmarkStart w:id="106" w:name="determination-algebrique-de-la-relation-entre-deux-variables"/>
      <w:bookmarkEnd w:id="106"/>
      <w:r>
        <w:t xml:space="preserve">Détermination algébrique de la relation entre deux variables</w:t>
      </w:r>
    </w:p>
    <w:p>
      <w:pPr>
        <w:pStyle w:val="Titre3"/>
      </w:pPr>
      <w:bookmarkStart w:id="107" w:name="quantifier-la-relation-entre-deux-variables"/>
      <w:bookmarkEnd w:id="107"/>
      <w:r>
        <w:t xml:space="preserve">Quantifier la relation entre deux variables</w:t>
      </w:r>
    </w:p>
    <w:p>
      <w:pPr>
        <w:pStyle w:val="Titre4"/>
      </w:pPr>
      <w:bookmarkStart w:id="108" w:name="covariance"/>
      <w:bookmarkEnd w:id="108"/>
      <w:r>
        <w:t xml:space="preserve">Covariance</w:t>
      </w:r>
    </w:p>
    <w:p>
      <w:pPr>
        <w:pStyle w:val="FirstParagraph"/>
      </w:pPr>
      <w:r>
        <w:t xml:space="preserve">La covariance entre deux variables se calcule comme suit:</w:t>
      </w:r>
    </w:p>
    <w:p>
      <w:pPr>
        <w:pStyle w:val="Corpsdetexte"/>
      </w:pPr>
      <m:oMathPara>
        <m:oMathParaPr>
          <m:jc m:val="center"/>
        </m:oMathParaPr>
        <m:oMath>
          <m:sSub>
            <m:e>
              <m:r>
                <m:t>S</m:t>
              </m:r>
            </m:e>
            <m:sub>
              <m:r>
                <m:t>X</m:t>
              </m:r>
              <m:r>
                <m:t>Y</m:t>
              </m:r>
            </m:sub>
          </m:sSub>
          <m:r>
            <m:t>=</m:t>
          </m:r>
          <m:f>
            <m:fPr>
              <m:type m:val="bar"/>
            </m:fPr>
            <m:num>
              <m:nary>
                <m:naryPr>
                  <m:chr m:val="∑"/>
                  <m:limLoc m:val="undOvr"/>
                  <m:subHide m:val="0"/>
                  <m:supHide m:val="0"/>
                </m:naryPr>
                <m:sub>
                  <m:r>
                    <m:t>i</m:t>
                  </m:r>
                  <m:r>
                    <m:t>=</m:t>
                  </m:r>
                  <m:r>
                    <m:t>1</m:t>
                  </m:r>
                </m:sub>
                <m:sup>
                  <m:r>
                    <m:t>n</m:t>
                  </m:r>
                </m:sup>
                <m:e>
                  <m:r>
                    <m:t>(</m:t>
                  </m:r>
                </m:e>
              </m:nary>
              <m:r>
                <m:t>X</m:t>
              </m:r>
              <m:r>
                <m:t>−</m:t>
              </m:r>
              <m:bar>
                <m:barPr>
                  <m:pos m:val="top"/>
                </m:barPr>
                <m:e>
                  <m:r>
                    <m:t>X</m:t>
                  </m:r>
                </m:e>
              </m:bar>
              <m:r>
                <m:t>)</m:t>
              </m:r>
              <m:r>
                <m:t>(</m:t>
              </m:r>
              <m:r>
                <m:t>Y</m:t>
              </m:r>
              <m:r>
                <m:t>−</m:t>
              </m:r>
              <m:bar>
                <m:barPr>
                  <m:pos m:val="top"/>
                </m:barPr>
                <m:e>
                  <m:r>
                    <m:t>Y</m:t>
                  </m:r>
                </m:e>
              </m:bar>
              <m:r>
                <m:t>)</m:t>
              </m:r>
            </m:num>
            <m:den>
              <m:r>
                <m:t>n</m:t>
              </m:r>
            </m:den>
          </m:f>
        </m:oMath>
      </m:oMathPara>
    </w:p>
    <w:p>
      <w:pPr>
        <w:pStyle w:val="FirstParagraph"/>
      </w:pPr>
      <w:r>
        <w:t xml:space="preserve">Voyons à présent en quoi cette expression représente une mesure du lien qui existe entre la variable X et la variable Y.</w:t>
      </w:r>
    </w:p>
    <w:p>
      <w:pPr>
        <w:pStyle w:val="Corpsdetexte"/>
      </w:pPr>
      <w:r>
        <w:t xml:space="preserve">Nous avons précédemment déterminé graphiquement (voir la Figure 5.3) que la relation linéaire entre les cours de mathématiques et de francais était positive pour les dix étudiants considérés à titre illustratif. Ci-dessous, reproduisons cette figure mais en la divisant en 4 quadrants distincts, en respectant la même logique que précéemment: tous les points qui tombent dans les deux quadrants du haut correspondent aux étudiants dont le score obtenu en géographie est supérieure à la moyenne, et tous les points qui tombent dans les deux quadrants du bas correspondent aux étudiants dont le score obtenu en géographie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8-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la relation linéaire est positive entre les deux cours, lorsque le score en mathématiques est supérieur à la moyenne, le score associé en français sera généralement lui aussi supérieur à la moyenne. Pour tous les points du quadrant supérieur droit,</w:t>
      </w:r>
      <w:r>
        <w:t xml:space="preserve"> </w:t>
      </w:r>
      <m:oMath>
        <m:sSub>
          <m:e>
            <m:r>
              <m:t>X</m:t>
            </m:r>
          </m:e>
          <m:sub>
            <m:r>
              <m:t>i</m:t>
            </m:r>
          </m:sub>
        </m:sSub>
        <m:r>
          <m:t>−</m:t>
        </m:r>
        <m:bar>
          <m:barPr>
            <m:pos m:val="top"/>
          </m:barPr>
          <m:e>
            <m:r>
              <m:t>X</m:t>
            </m:r>
          </m:e>
        </m:bar>
      </m:oMath>
      <w:r>
        <w:t xml:space="preserve"> </w:t>
      </w:r>
      <w:r>
        <w:t xml:space="preserve">sera supérieur à zéro et il en sera de même pour</w:t>
      </w:r>
      <w:r>
        <w:t xml:space="preserve"> </w:t>
      </w:r>
      <m:oMath>
        <m:sSub>
          <m:e>
            <m:r>
              <m:t>Y</m:t>
            </m:r>
          </m:e>
          <m:sub>
            <m:r>
              <m:t>i</m:t>
            </m:r>
          </m:sub>
        </m:sSub>
        <m:r>
          <m:t>−</m:t>
        </m:r>
        <m:bar>
          <m:barPr>
            <m:pos m:val="top"/>
          </m:barPr>
          <m:e>
            <m:r>
              <m:t>Y</m:t>
            </m:r>
          </m:e>
        </m:bar>
      </m:oMath>
      <w:r>
        <w:t xml:space="preserve">. Or, +*+=+. Par ailleurs, lorsque le score en mathématiques est inférieur à la moyenne, le score associé en français sera généralement lui aussi inférieur à la moyenne. Pour tous les points du quadrant inférieur gauche,</w:t>
      </w:r>
      <w:r>
        <w:t xml:space="preserve"> </w:t>
      </w:r>
      <m:oMath>
        <m:sSub>
          <m:e>
            <m:r>
              <m:t>X</m:t>
            </m:r>
          </m:e>
          <m:sub>
            <m:r>
              <m:t>i</m:t>
            </m:r>
          </m:sub>
        </m:sSub>
        <m:r>
          <m:t>−</m:t>
        </m:r>
        <m:bar>
          <m:barPr>
            <m:pos m:val="top"/>
          </m:barPr>
          <m:e>
            <m:r>
              <m:t>X</m:t>
            </m:r>
          </m:e>
        </m:bar>
      </m:oMath>
      <w:r>
        <w:t xml:space="preserve"> </w:t>
      </w:r>
      <w:r>
        <w:t xml:space="preserve">sera négatif, et il en sera de meme pour</w:t>
      </w:r>
      <w:r>
        <w:t xml:space="preserve"> </w:t>
      </w:r>
      <m:oMath>
        <m:sSub>
          <m:e>
            <m:r>
              <m:t>Y</m:t>
            </m:r>
          </m:e>
          <m:sub>
            <m:r>
              <m:t>i</m:t>
            </m:r>
          </m:sub>
        </m:sSub>
        <m:r>
          <m:t>−</m:t>
        </m:r>
        <m:bar>
          <m:barPr>
            <m:pos m:val="top"/>
          </m:barPr>
          <m:e>
            <m:r>
              <m:t>Y</m:t>
            </m:r>
          </m:e>
        </m:bar>
      </m:oMath>
      <w:r>
        <w:t xml:space="preserve">.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positifs, et par voie de conséquence, que la mesure de covariance sera positive.</w:t>
      </w:r>
    </w:p>
    <w:p>
      <w:pPr>
        <w:pStyle w:val="Corpsdetexte"/>
      </w:pPr>
      <w:r>
        <w:t xml:space="preserve">Nous avions également déterminé précédemment graphiquement (voir la Figure 5.2)que la relation linéaire entre les cours de mathématiques et de géographie était négative pour les dix étudiants considérés à titre illustratif. Ci-dessous, reproduisons cette figure mais en la divisant en 4 quadrants distincts (notons que pour augmenter la lisibilité, dans cette reproduction, seule une partie du graphique a été représentée, celle dans laquelle il y avait des points… les valeurs des axes ne commencent donc pas à zéro).Tous les points qui tombent dans les deux quadrants du haut correspondent aux étudiants dont le score obtenu en français est supérieure à la moyenne, et tous les points qui tombent dans les deux quadrants du bas correspondent aux étudiants dont le score obtenu en français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Dans la mesure où la relation linéaire est négative entre les deux cours, lorsque le score en mathématiques est supérieur à la moyenne, le score associé en français sera généralement inférieur à la moyenne. Pour tous les points du quadrant inférieur droit,</w:t>
      </w:r>
      <w:r>
        <w:t xml:space="preserve"> </w:t>
      </w:r>
      <m:oMath>
        <m:sSub>
          <m:e>
            <m:r>
              <m:t>X</m:t>
            </m:r>
          </m:e>
          <m:sub>
            <m:r>
              <m:t>i</m:t>
            </m:r>
          </m:sub>
        </m:sSub>
        <m:r>
          <m:t>−</m:t>
        </m:r>
        <m:bar>
          <m:barPr>
            <m:pos m:val="top"/>
          </m:barPr>
          <m:e>
            <m:r>
              <m:t>X</m:t>
            </m:r>
          </m:e>
        </m:bar>
      </m:oMath>
      <w:r>
        <w:t xml:space="preserve"> </w:t>
      </w:r>
      <w:r>
        <w:t xml:space="preserve">sera positif et</w:t>
      </w:r>
      <w:r>
        <w:t xml:space="preserve"> </w:t>
      </w:r>
      <m:oMath>
        <m:sSub>
          <m:e>
            <m:r>
              <m:t>Y</m:t>
            </m:r>
          </m:e>
          <m:sub>
            <m:r>
              <m:t>i</m:t>
            </m:r>
          </m:sub>
        </m:sSub>
        <m:r>
          <m:t>−</m:t>
        </m:r>
        <m:bar>
          <m:barPr>
            <m:pos m:val="top"/>
          </m:barPr>
          <m:e>
            <m:r>
              <m:t>Y</m:t>
            </m:r>
          </m:e>
        </m:bar>
      </m:oMath>
      <w:r>
        <w:t xml:space="preserve"> </w:t>
      </w:r>
      <w:r>
        <w:t xml:space="preserve">sera négatif. Or, +*-=-. Par ailleurs, lorsque le score en mathématiques est inférieur à la moyenne, le score associé en français sera par contre supérieur à la moyenne. Pour tous les points du quadrant supérieur gauche,</w:t>
      </w:r>
      <w:r>
        <w:t xml:space="preserve"> </w:t>
      </w:r>
      <m:oMath>
        <m:sSub>
          <m:e>
            <m:r>
              <m:t>X</m:t>
            </m:r>
          </m:e>
          <m:sub>
            <m:r>
              <m:t>i</m:t>
            </m:r>
          </m:sub>
        </m:sSub>
        <m:r>
          <m:t>−</m:t>
        </m:r>
        <m:bar>
          <m:barPr>
            <m:pos m:val="top"/>
          </m:barPr>
          <m:e>
            <m:r>
              <m:t>X</m:t>
            </m:r>
          </m:e>
        </m:bar>
      </m:oMath>
      <w:r>
        <w:t xml:space="preserve"> </w:t>
      </w:r>
      <w:r>
        <w:t xml:space="preserve">sera négatif, par contre</w:t>
      </w:r>
      <w:r>
        <w:t xml:space="preserve"> </w:t>
      </w:r>
      <m:oMath>
        <m:sSub>
          <m:e>
            <m:r>
              <m:t>Y</m:t>
            </m:r>
          </m:e>
          <m:sub>
            <m:r>
              <m:t>i</m:t>
            </m:r>
          </m:sub>
        </m:sSub>
        <m:r>
          <m:t>−</m:t>
        </m:r>
        <m:bar>
          <m:barPr>
            <m:pos m:val="top"/>
          </m:barPr>
          <m:e>
            <m:r>
              <m:t>Y</m:t>
            </m:r>
          </m:e>
        </m:bar>
      </m:oMath>
      <w:r>
        <w:t xml:space="preserve"> </w:t>
      </w:r>
      <w:r>
        <w:t xml:space="preserve">sera positif.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négatifs, et par voie de conséquence, que la mesure de covariance sera négative.</w:t>
      </w:r>
    </w:p>
    <w:p>
      <w:pPr>
        <w:pStyle w:val="Corpsdetexte"/>
      </w:pPr>
      <w:r>
        <w:t xml:space="preserve">Figure 5.3</w:t>
      </w:r>
      <w:r>
        <w:br w:type="textWrapping"/>
      </w:r>
      <w:r>
        <w:rPr>
          <w:i/>
        </w:rPr>
        <w:t xml:space="preserve">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9-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Comme dernier exemple, nous avions déterminé précédemment graphiquement une absence de relation linéaire entre les cours d’éducation physique et celui d’anglais. Cela signifiait que lorsque la note au cours d’éducation physique augmentait, celle du cours d’anglais pouvait tantôt augmenter, tantôt diminuer. Graphiquement, cela amène à observer un nuage de points avec des points qui se répartissent aléatoirement dans les 4 quadrants (voir la Figure 5.4 ).</w:t>
      </w:r>
    </w:p>
    <w:p>
      <w:pPr>
        <w:pStyle w:val="Corpsdetexte"/>
      </w:pPr>
      <w:r>
        <w:rPr>
          <w:i/>
        </w:rPr>
        <w:t xml:space="preserve">Nuage de points représentant la relation entre la note à un cours de géographie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0-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 déjà été déterminé que pour les quadrants inférieur gauche et supérieur droit, le produit</w:t>
      </w:r>
      <w:r>
        <w:t xml:space="preserve"> </w:t>
      </w:r>
      <m:oMath>
        <m:r>
          <m:t>(</m:t>
        </m:r>
        <m:r>
          <m:t>X</m:t>
        </m:r>
        <m:r>
          <m:t>−</m:t>
        </m:r>
        <m:bar>
          <m:barPr>
            <m:pos m:val="top"/>
          </m:barPr>
          <m:e>
            <m:r>
              <m:t>X</m:t>
            </m:r>
          </m:e>
        </m:bar>
        <m:r>
          <m:t>)</m:t>
        </m:r>
        <m:r>
          <m:t>(</m:t>
        </m:r>
        <m:r>
          <m:t>Y</m:t>
        </m:r>
        <m:r>
          <m:t>−</m:t>
        </m:r>
        <m:bar>
          <m:barPr>
            <m:pos m:val="top"/>
          </m:barPr>
          <m:e>
            <m:r>
              <m:t>Y</m:t>
            </m:r>
          </m:e>
        </m:bar>
        <m:r>
          <m:t>)</m:t>
        </m:r>
      </m:oMath>
      <w:r>
        <w:t xml:space="preserve"> </w:t>
      </w:r>
      <w:r>
        <w:t xml:space="preserve">était positif, et qu’au contraire, pour les quadrants supérieur gauche et inférieur droit, le produit était négatif.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dont certais sont positifs et d’autres sont négatifs, et par voie de conséquence, que la mesure de covariance sera proche de zéro (puisque les positifs et les négatifs s’annulent).</w:t>
      </w:r>
    </w:p>
    <w:p>
      <w:pPr>
        <w:pStyle w:val="Corpsdetexte"/>
      </w:pPr>
      <w:r>
        <w:t xml:space="preserve">EN RESUME:</w:t>
      </w:r>
      <w:r>
        <w:t xml:space="preserve"> </w:t>
      </w:r>
      <w:r>
        <w:t xml:space="preserve">* Une mesure de covariance négative traduit une relation linéaire négative entre deux variables.</w:t>
      </w:r>
      <w:r>
        <w:br w:type="textWrapping"/>
      </w:r>
      <w:r>
        <w:t xml:space="preserve">* Une mesure de covariance positive traduit une relation linéaire positive entre deux variables.</w:t>
      </w:r>
      <w:r>
        <w:br w:type="textWrapping"/>
      </w:r>
      <w:r>
        <w:t xml:space="preserve">* Une mesure de covariance nulle traduit une relation linéaire nulle entre deux variables.</w:t>
      </w:r>
    </w:p>
    <w:p>
      <w:pPr>
        <w:pStyle w:val="Titre4"/>
      </w:pPr>
      <w:bookmarkStart w:id="112" w:name="correlation"/>
      <w:bookmarkEnd w:id="112"/>
      <w:r>
        <w:t xml:space="preserve">Corrélation</w:t>
      </w:r>
    </w:p>
    <w:p>
      <w:pPr>
        <w:pStyle w:val="FirstParagraph"/>
      </w:pPr>
      <w:r>
        <w:t xml:space="preserve">La covariance est donc une mesure très efficace du lien entre deux variables. Cependant, elle souffre d’un défaut: elle donne une valeur difficilement interprétable en tant que telle. On asit qu’elle augmente, diminue ou s’annule en foncton du lien, mais il n’y a pas de valeur plafond ni de valeur plancher. Admettons que la valeur d’une covariance soit de 1352 (nombre purement choisi au hasard), cela ne permet de dire qu’une seule chose: que le lien est positif. Mais ce lien est-il fort, faible, intéressant, inintéressant? En fait, tout dépend de l’unité de mesure des variables. Si nous étudions des variables à l’aide de valeurs qui tournent autour de 1 ou 2, alors une covariance de 1352 est probablement un lien extrêmement fort entre les deux variables. En revanche, si les variables ont des valeurs qui tournent autour de 10000000 ou 20000000, alors cette même covariance de 1352 représentera probablement un lien tout à fait dérisoire, que l’on peut considérer comme proche de zéro.</w:t>
      </w:r>
    </w:p>
    <w:p>
      <w:pPr>
        <w:pStyle w:val="Corpsdetexte"/>
      </w:pPr>
      <w:r>
        <w:t xml:space="preserve">Heureusement, il existe une solution qui permet de contourner ce problème. En effet, si l’on divise la covariance par les écarts-types respectifs de ces deux variables, on obtient une mesure réduite dont l’interprétation est beaucoup plus évidente, que l’on appelle la mesure de</w:t>
      </w:r>
      <w:r>
        <w:t xml:space="preserve"> </w:t>
      </w:r>
      <w:r>
        <w:rPr>
          <w:b/>
        </w:rPr>
        <w:t xml:space="preserve">corrélation r de Pearson</w:t>
      </w:r>
      <w:r>
        <w:t xml:space="preserve">:</w:t>
      </w:r>
    </w:p>
    <w:p>
      <w:pPr>
        <w:pStyle w:val="Corpsdetexte"/>
      </w:pPr>
      <m:oMathPara>
        <m:oMathParaPr>
          <m:jc m:val="center"/>
        </m:oMathParaPr>
        <m:oMath>
          <m:sSub>
            <m:e>
              <m:r>
                <m:t>r</m:t>
              </m:r>
            </m:e>
            <m:sub>
              <m:r>
                <m:t>X</m:t>
              </m:r>
              <m:r>
                <m:t>Y</m:t>
              </m:r>
            </m:sub>
          </m:sSub>
          <m:r>
            <m:t>=</m:t>
          </m:r>
          <m:f>
            <m:fPr>
              <m:type m:val="bar"/>
            </m:fPr>
            <m:num>
              <m:sSub>
                <m:e>
                  <m:r>
                    <m:t>S</m:t>
                  </m:r>
                </m:e>
                <m:sub>
                  <m:r>
                    <m:t>X</m:t>
                  </m:r>
                  <m:r>
                    <m:t>Y</m:t>
                  </m:r>
                </m:sub>
              </m:sSub>
            </m:num>
            <m:den>
              <m:sSub>
                <m:e>
                  <m:r>
                    <m:t>S</m:t>
                  </m:r>
                </m:e>
                <m:sub>
                  <m:r>
                    <m:t>X</m:t>
                  </m:r>
                </m:sub>
              </m:sSub>
              <m:sSub>
                <m:e>
                  <m:r>
                    <m:t>S</m:t>
                  </m:r>
                </m:e>
                <m:sub>
                  <m:r>
                    <m:t>Y</m:t>
                  </m:r>
                </m:sub>
              </m:sSub>
            </m:den>
          </m:f>
          <m:r>
            <m:t>=</m:t>
          </m:r>
          <m:f>
            <m:fPr>
              <m:type m:val="bar"/>
            </m:fPr>
            <m:num>
              <m:r>
                <m:t>[</m:t>
              </m:r>
              <m:r>
                <m:t>(</m:t>
              </m:r>
              <m:r>
                <m:t>X</m:t>
              </m:r>
              <m:r>
                <m:t>−</m:t>
              </m:r>
              <m:bar>
                <m:barPr>
                  <m:pos m:val="top"/>
                </m:barPr>
                <m:e>
                  <m:r>
                    <m:t>X</m:t>
                  </m:r>
                </m:e>
              </m:bar>
              <m:r>
                <m:t>)</m:t>
              </m:r>
              <m:r>
                <m:t>(</m:t>
              </m:r>
              <m:r>
                <m:t>Y</m:t>
              </m:r>
              <m:r>
                <m:t>−</m:t>
              </m:r>
              <m:bar>
                <m:barPr>
                  <m:pos m:val="top"/>
                </m:barPr>
                <m:e>
                  <m:r>
                    <m:t>Y</m:t>
                  </m:r>
                </m:e>
              </m:bar>
              <m:r>
                <m:t>)</m:t>
              </m:r>
              <m:r>
                <m:t>]</m:t>
              </m:r>
              <m:r>
                <m:t>/</m:t>
              </m:r>
              <m:r>
                <m:t>n</m:t>
              </m:r>
            </m:num>
            <m:den>
              <m:sSub>
                <m:e>
                  <m:r>
                    <m:t>S</m:t>
                  </m:r>
                </m:e>
                <m:sub>
                  <m:r>
                    <m:t>X</m:t>
                  </m:r>
                </m:sub>
              </m:sSub>
              <m:sSub>
                <m:e>
                  <m:r>
                    <m:t>S</m:t>
                  </m:r>
                </m:e>
                <m:sub>
                  <m:r>
                    <m:t>Y</m:t>
                  </m:r>
                </m:sub>
              </m:sSub>
            </m:den>
          </m:f>
        </m:oMath>
      </m:oMathPara>
    </w:p>
    <w:p>
      <w:pPr>
        <w:pStyle w:val="FirstParagraph"/>
      </w:pPr>
      <w:r>
        <w:t xml:space="preserve">Cette mesure est nécessairement comprise entre -1 et 1.</w:t>
      </w:r>
    </w:p>
    <w:p>
      <w:pPr>
        <w:pStyle w:val="Corpsdetexte"/>
      </w:pPr>
      <w:r>
        <w:t xml:space="preserve">Dans ce cas, -1 correspond à une corrélation linéaire négative parfaite entre deux variables (tous les points du nuage seront parfaitement superposés à une droite de régression décroissante), +1 correspond à une corrélation linéaire positive parfaite (tous les points du nuage seront parfaitement superposés à une droite de régression croissante) et 0 correspond à une absence de corrélation linéaire.</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unnamed-chunk-61-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Toutes les valeurs comprises entre 0 et +1 ou entre 0 et -1 correspondent aux situations où il existe une corrélation linéaire entre les deux variables, mais non parfaite (tous les points tendront à se rapprocher d’une droite croissante ou décroissante, mais sans être parfaitement superposés à cette droite).</w:t>
      </w:r>
    </w:p>
    <w:p>
      <w:pPr>
        <w:pStyle w:val="Corpsdetexte"/>
      </w:pPr>
      <w:r>
        <w:t xml:space="preserve">Plus les mesures r de Pearson se rapprochent de -1 ou de 1, plus la relation linéaire entre les deux variables sera dite forte. Bien qu’il existe de nombreuses balises, nous nous fierons à celles définies par un dénommé Cohen, d’après qui …</w:t>
      </w:r>
      <w:r>
        <w:t xml:space="preserve"> </w:t>
      </w:r>
      <w:r>
        <w:t xml:space="preserve">- une mesure de corrélation comprise entre -.3 et +.3 est faible.</w:t>
      </w:r>
      <w:r>
        <w:t xml:space="preserve"> </w:t>
      </w:r>
      <w:r>
        <w:t xml:space="preserve">- une mesure de corrélation comprise entre -.3 et -.5 ou comprise entre .3 et .5 est dite moyenne.</w:t>
      </w:r>
      <w:r>
        <w:t xml:space="preserve"> </w:t>
      </w:r>
      <w:r>
        <w:t xml:space="preserve">- une mesure de corrélation inférieure à -.5 ou supérieure à +.5 est dite forte.</w:t>
      </w:r>
    </w:p>
    <w:p>
      <w:pPr>
        <w:pStyle w:val="Corpsdetexte"/>
      </w:pPr>
      <w:r>
        <w:t xml:space="preserve">A titre d’exercice, vérifiez que</w:t>
      </w:r>
      <w:r>
        <w:t xml:space="preserve"> </w:t>
      </w:r>
      <m:oMath>
        <m:sSub>
          <m:e>
            <m:r>
              <m:t>S</m:t>
            </m:r>
          </m:e>
          <m:sub>
            <m:r>
              <m:t>M</m:t>
            </m:r>
            <m:r>
              <m:t>a</m:t>
            </m:r>
            <m:r>
              <m:t>t</m:t>
            </m:r>
            <m:r>
              <m:t>h</m:t>
            </m:r>
            <m:r>
              <m:t>,</m:t>
            </m:r>
            <m:r>
              <m:t>F</m:t>
            </m:r>
            <m:r>
              <m:t>r</m:t>
            </m:r>
            <m:r>
              <m:t>a</m:t>
            </m:r>
            <m:r>
              <m:t>n</m:t>
            </m:r>
            <m:r>
              <m:t>c</m:t>
            </m:r>
            <m:r>
              <m:t>a</m:t>
            </m:r>
            <m:r>
              <m:t>i</m:t>
            </m:r>
            <m:r>
              <m:t>s</m:t>
            </m:r>
          </m:sub>
        </m:sSub>
        <m:r>
          <m:t>=</m:t>
        </m:r>
        <m:r>
          <m:t>0.95</m:t>
        </m:r>
      </m:oMath>
      <w:r>
        <w:t xml:space="preserve">,</w:t>
      </w:r>
      <w:r>
        <w:t xml:space="preserve"> </w:t>
      </w:r>
      <m:oMath>
        <m:sSub>
          <m:e>
            <m:r>
              <m:t>S</m:t>
            </m:r>
          </m:e>
          <m:sub>
            <m:r>
              <m:t>M</m:t>
            </m:r>
            <m:r>
              <m:t>a</m:t>
            </m:r>
            <m:r>
              <m:t>t</m:t>
            </m:r>
            <m:r>
              <m:t>h</m:t>
            </m:r>
            <m:r>
              <m:t>,</m:t>
            </m:r>
            <m:r>
              <m:t>G</m:t>
            </m:r>
            <m:r>
              <m:t>e</m:t>
            </m:r>
            <m:r>
              <m:t>o</m:t>
            </m:r>
            <m:r>
              <m:t>g</m:t>
            </m:r>
            <m:r>
              <m:t>r</m:t>
            </m:r>
            <m:r>
              <m:t>a</m:t>
            </m:r>
            <m:r>
              <m:t>p</m:t>
            </m:r>
            <m:r>
              <m:t>h</m:t>
            </m:r>
            <m:r>
              <m:t>i</m:t>
            </m:r>
            <m:r>
              <m:t>e</m:t>
            </m:r>
          </m:sub>
        </m:sSub>
        <m:r>
          <m:t>=</m:t>
        </m:r>
        <m:r>
          <m:t>−</m:t>
        </m:r>
        <m:r>
          <m:t>0.93</m:t>
        </m:r>
      </m:oMath>
      <w:r>
        <w:t xml:space="preserve"> </w:t>
      </w:r>
      <w:r>
        <w:t xml:space="preserve">et</w:t>
      </w:r>
      <w:r>
        <w:t xml:space="preserve"> </w:t>
      </w:r>
      <m:oMath>
        <m:sSub>
          <m:e>
            <m:r>
              <m:t>S</m:t>
            </m:r>
          </m:e>
          <m:sub>
            <m:r>
              <m:t>E</m:t>
            </m:r>
            <m:r>
              <m:t>d</m:t>
            </m:r>
            <m:r>
              <m:t>u</m:t>
            </m:r>
            <m:r>
              <m:t>c</m:t>
            </m:r>
            <m:r>
              <m:t>a</m:t>
            </m:r>
            <m:r>
              <m:t>t</m:t>
            </m:r>
            <m:r>
              <m:t>i</m:t>
            </m:r>
            <m:r>
              <m:t>o</m:t>
            </m:r>
            <m:r>
              <m:t>n</m:t>
            </m:r>
            <m:r>
              <m:t>p</m:t>
            </m:r>
            <m:r>
              <m:t>h</m:t>
            </m:r>
            <m:r>
              <m:t>y</m:t>
            </m:r>
            <m:r>
              <m:t>s</m:t>
            </m:r>
            <m:r>
              <m:t>i</m:t>
            </m:r>
            <m:r>
              <m:t>q</m:t>
            </m:r>
            <m:r>
              <m:t>u</m:t>
            </m:r>
            <m:r>
              <m:t>e</m:t>
            </m:r>
            <m:r>
              <m:t>,</m:t>
            </m:r>
            <m:r>
              <m:t>A</m:t>
            </m:r>
            <m:r>
              <m:t>n</m:t>
            </m:r>
            <m:r>
              <m:t>g</m:t>
            </m:r>
            <m:r>
              <m:t>l</m:t>
            </m:r>
            <m:r>
              <m:t>a</m:t>
            </m:r>
            <m:r>
              <m:t>i</m:t>
            </m:r>
            <m:r>
              <m:t>s</m:t>
            </m:r>
          </m:sub>
        </m:sSub>
        <m:r>
          <m:t>=</m:t>
        </m:r>
        <m:r>
          <m:t>0</m:t>
        </m:r>
      </m:oMath>
      <w:r>
        <w:t xml:space="preserve">.</w:t>
      </w:r>
    </w:p>
    <w:p>
      <w:pPr>
        <w:pStyle w:val="Corpsdetexte"/>
      </w:pPr>
      <w:r>
        <w:t xml:space="preserve">En transformant ces mesures de covariances en mesure de corrélation, on trouve que la corrélation entre les cours de mathématiques et de français vaut</w:t>
      </w:r>
      <w:r>
        <w:t xml:space="preserve"> </w:t>
      </w:r>
      <m:oMath>
        <m:sSub>
          <m:e>
            <m:r>
              <m:t>r</m:t>
            </m:r>
          </m:e>
          <m:sub>
            <m:r>
              <m:t>M</m:t>
            </m:r>
            <m:r>
              <m:t>a</m:t>
            </m:r>
            <m:r>
              <m:t>t</m:t>
            </m:r>
            <m:r>
              <m:t>h</m:t>
            </m:r>
            <m:r>
              <m:t>,</m:t>
            </m:r>
            <m:r>
              <m:t>F</m:t>
            </m:r>
            <m:r>
              <m:t>r</m:t>
            </m:r>
            <m:r>
              <m:t>a</m:t>
            </m:r>
            <m:r>
              <m:t>n</m:t>
            </m:r>
            <m:r>
              <m:t>c</m:t>
            </m:r>
            <m:r>
              <m:t>a</m:t>
            </m:r>
            <m:r>
              <m:t>i</m:t>
            </m:r>
            <m:r>
              <m:t>s</m:t>
            </m:r>
          </m:sub>
        </m:sSub>
        <m:r>
          <m:t>=</m:t>
        </m:r>
        <m:f>
          <m:fPr>
            <m:type m:val="bar"/>
          </m:fPr>
          <m:num>
            <m:r>
              <m:t>0.95</m:t>
            </m:r>
          </m:num>
          <m:den>
            <m:r>
              <m:t>1.6</m:t>
            </m:r>
            <m:r>
              <m:t>X</m:t>
            </m:r>
            <m:r>
              <m:t>0.67</m:t>
            </m:r>
          </m:den>
        </m:f>
        <m:r>
          <m:t>=</m:t>
        </m:r>
        <m:r>
          <m:t>0.89</m:t>
        </m:r>
      </m:oMath>
      <w:r>
        <w:t xml:space="preserve">, soit unecorrélation forte</w:t>
      </w:r>
    </w:p>
    <w:p>
      <w:pPr>
        <w:pStyle w:val="Corpsdetexte"/>
      </w:pPr>
      <w:r>
        <w:t xml:space="preserve">La corrélation entre les cours de mathématiques et de géographie vaut</w:t>
      </w:r>
      <w:r>
        <w:t xml:space="preserve"> </w:t>
      </w:r>
      <m:oMath>
        <m:sSub>
          <m:e>
            <m:r>
              <m:t>r</m:t>
            </m:r>
          </m:e>
          <m:sub>
            <m:r>
              <m:t>M</m:t>
            </m:r>
            <m:r>
              <m:t>a</m:t>
            </m:r>
            <m:r>
              <m:t>t</m:t>
            </m:r>
            <m:r>
              <m:t>h</m:t>
            </m:r>
            <m:r>
              <m:t>,</m:t>
            </m:r>
            <m:r>
              <m:t>G</m:t>
            </m:r>
            <m:r>
              <m:t>e</m:t>
            </m:r>
            <m:r>
              <m:t>o</m:t>
            </m:r>
          </m:sub>
        </m:sSub>
        <m:r>
          <m:t>=</m:t>
        </m:r>
        <m:f>
          <m:fPr>
            <m:type m:val="bar"/>
          </m:fPr>
          <m:num>
            <m:r>
              <m:t>−</m:t>
            </m:r>
            <m:r>
              <m:t>3.2</m:t>
            </m:r>
          </m:num>
          <m:den>
            <m:r>
              <m:t>1.6</m:t>
            </m:r>
            <m:r>
              <m:t>X</m:t>
            </m:r>
            <m:r>
              <m:t>2.15</m:t>
            </m:r>
          </m:den>
        </m:f>
        <m:r>
          <m:t>=</m:t>
        </m:r>
        <m:r>
          <m:t>−</m:t>
        </m:r>
        <m:r>
          <m:t>0.93</m:t>
        </m:r>
      </m:oMath>
      <w:r>
        <w:t xml:space="preserve">, soit unecorrélation forte</w:t>
      </w:r>
    </w:p>
    <w:p>
      <w:pPr>
        <w:pStyle w:val="Corpsdetexte"/>
      </w:pPr>
      <w:r>
        <w:t xml:space="preserve">Enfin, la corrélation entre les cours d’éducation physique et d’anglais vaut</w:t>
      </w:r>
      <w:r>
        <w:t xml:space="preserve"> </w:t>
      </w:r>
      <m:oMath>
        <m:sSub>
          <m:e>
            <m:r>
              <m:t>r</m:t>
            </m:r>
          </m:e>
          <m:sub>
            <m:r>
              <m:t>p</m:t>
            </m:r>
            <m:r>
              <m:t>h</m:t>
            </m:r>
            <m:r>
              <m:t>y</m:t>
            </m:r>
            <m:r>
              <m:t>s</m:t>
            </m:r>
            <m:r>
              <m:t>,</m:t>
            </m:r>
            <m:r>
              <m:t>a</m:t>
            </m:r>
            <m:r>
              <m:t>n</m:t>
            </m:r>
            <m:r>
              <m:t>g</m:t>
            </m:r>
            <m:r>
              <m:t>l</m:t>
            </m:r>
            <m:r>
              <m:t>a</m:t>
            </m:r>
            <m:r>
              <m:t>i</m:t>
            </m:r>
            <m:r>
              <m:t>s</m:t>
            </m:r>
          </m:sub>
        </m:sSub>
        <m:r>
          <m:t>=</m:t>
        </m:r>
        <m:f>
          <m:fPr>
            <m:type m:val="bar"/>
          </m:fPr>
          <m:num>
            <m:r>
              <m:t>0.01</m:t>
            </m:r>
          </m:num>
          <m:den>
            <m:r>
              <m:t>1.3</m:t>
            </m:r>
            <m:r>
              <m:t>X</m:t>
            </m:r>
            <m:r>
              <m:t>1.62</m:t>
            </m:r>
          </m:den>
        </m:f>
        <m:r>
          <m:t>=</m:t>
        </m:r>
        <m:r>
          <m:t>0</m:t>
        </m:r>
      </m:oMath>
      <w:r>
        <w:t xml:space="preserve">, soit unecorrélation faible (voir même très faible, pratiquement nulle).</w:t>
      </w:r>
    </w:p>
    <w:p>
      <w:pPr>
        <w:pStyle w:val="Titre6"/>
      </w:pPr>
      <w:bookmarkStart w:id="114" w:name="pagebreak-7"/>
      <w:bookmarkEnd w:id="114"/>
      <w:r>
        <w:t xml:space="preserve">Pagebreak</w:t>
      </w:r>
    </w:p>
    <w:p>
      <w:pPr>
        <w:pStyle w:val="Titre1"/>
      </w:pPr>
      <w:bookmarkStart w:id="115" w:name="references"/>
      <w:bookmarkEnd w:id="115"/>
      <w:r>
        <w:t xml:space="preserve">Références</w:t>
      </w:r>
    </w:p>
    <w:p>
      <w:pPr>
        <w:pStyle w:val="FirstParagraph"/>
      </w:pPr>
      <w:r>
        <w:t xml:space="preserve">Labreuche, J. (2010). Les différents types de variables, leurs représentations graphiques et paramêtres descriptifs. Sang Thrombose Vaisseaux, 22(10), 536-543.</w:t>
      </w:r>
    </w:p>
    <w:p>
      <w:pPr>
        <w:pStyle w:val="Corpsdetexte"/>
      </w:pPr>
      <w:r>
        <w:t xml:space="preserve">Syllabus de Christophe</w:t>
      </w:r>
    </w:p>
    <w:p>
      <w:pPr>
        <w:pStyle w:val="Corpsdetexte"/>
      </w:pPr>
      <w:r>
        <w:t xml:space="preserve">Séminaire de Christian Ritter sur les graphiques</w:t>
      </w:r>
    </w:p>
    <w:p>
      <w:pPr>
        <w:pStyle w:val="Corpsdetexte"/>
      </w:pPr>
      <w:r>
        <w:t xml:space="preserve">Support office</w:t>
      </w:r>
    </w:p>
    <w:sectPr w:rsidR="00AF3A9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FBB294B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28899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1AE9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A201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404F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B443F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7D84A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A143C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80B9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4217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93ec4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31f6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9330c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0542D5"/>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hyperlink" Id="rId55"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55"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52</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dcterms:created xsi:type="dcterms:W3CDTF">2018-10-18T15:19:18Z</dcterms:created>
  <dcterms:modified xsi:type="dcterms:W3CDTF">2018-10-18T15:19:18Z</dcterms:modified>
</cp:coreProperties>
</file>