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Delacre,</w:t>
      </w:r>
      <w:r>
        <w:t xml:space="preserve"> </w:t>
      </w:r>
      <w:r>
        <w:t xml:space="preserve">Leys,</w:t>
      </w:r>
      <w:r>
        <w:t xml:space="preserve"> </w:t>
      </w:r>
      <w:r>
        <w:t xml:space="preserve">Mora,</w:t>
      </w:r>
      <w:r>
        <w:t xml:space="preserve"> </w:t>
      </w:r>
      <w:r>
        <w:t xml:space="preserve">Lakens</w:t>
      </w:r>
    </w:p>
    <w:p>
      <w:pPr>
        <w:pStyle w:val="Date"/>
      </w:pPr>
      <w:r>
        <w:t xml:space="preserve">7</w:t>
      </w:r>
      <w:r>
        <w:t xml:space="preserve"> </w:t>
      </w:r>
      <w:r>
        <w:t xml:space="preserve">octobre</w:t>
      </w:r>
      <w:r>
        <w:t xml:space="preserve"> </w:t>
      </w:r>
      <w:r>
        <w:t xml:space="preserve">2018</w:t>
      </w:r>
    </w:p>
    <w:p>
      <w:pPr>
        <w:pStyle w:val="Heading2"/>
      </w:pPr>
      <w:bookmarkStart w:id="21" w:name="r-markdown"/>
      <w:bookmarkEnd w:id="21"/>
      <w:r>
        <w:t xml:space="preserve">R Markdown</w:t>
      </w:r>
    </w:p>
    <w:p>
      <w:pPr>
        <w:pStyle w:val="Heading3"/>
      </w:pPr>
      <w:bookmarkStart w:id="22" w:name="variables-quantitatives-discretes"/>
      <w:bookmarkEnd w:id="22"/>
      <w:r>
        <w:t xml:space="preserve">Variables quantitatives discrètes</w:t>
      </w:r>
    </w:p>
    <w:p>
      <w:pPr>
        <w:pStyle w:val="Heading4"/>
      </w:pPr>
      <w:bookmarkStart w:id="23" w:name="simplification-des-donnees-calcul-de-la-mediane-et-des-quartiles"/>
      <w:bookmarkEnd w:id="23"/>
      <w:r>
        <w:t xml:space="preserve">Simplification des données: calcul de la médiane et des quartiles</w:t>
      </w:r>
    </w:p>
    <w:p>
      <w:pPr>
        <w:pStyle w:val="Heading5"/>
      </w:pPr>
      <w:bookmarkStart w:id="24" w:name="au-depart-de-donnees-brutes"/>
      <w:bookmarkEnd w:id="24"/>
      <w:r>
        <w:t xml:space="preserve">Au départ de données brutes</w:t>
      </w:r>
    </w:p>
    <w:p>
      <w:pPr>
        <w:pStyle w:val="FirstParagraph"/>
      </w:pPr>
      <w:r>
        <w:t xml:space="preserve">Soit une série statistique contenant un nombre impair de sujets (n=7):</w:t>
      </w:r>
    </w:p>
    <w:p>
      <w:pPr>
        <w:pStyle w:val="BodyText"/>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oMath>
      </m:oMathPara>
    </w:p>
    <w:p>
      <w:pPr>
        <w:pStyle w:val="FirstParagraph"/>
      </w:pPr>
      <w:r>
        <w:t xml:space="preserve">La médiane va consister à déterminer une valeur tel qu’il y ait la moitié des observations de la série dont la valeur lui est inférieure, et l’autre moitié dont la valeur lui est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BodyText"/>
      </w:pPr>
      <w:r>
        <w:t xml:space="preserve">Voici la série ordonnée:</w:t>
      </w:r>
    </w:p>
    <w:p>
      <w:pPr>
        <w:pStyle w:val="BodyText"/>
      </w:pPr>
      <m:oMathPara>
        <m:oMathParaPr>
          <m:jc m:val="center"/>
        </m:oMathParaPr>
        <m:oMath>
          <m:r>
            <m:t>1</m:t>
          </m:r>
          <m:r>
            <m:t>,</m:t>
          </m:r>
          <m:r>
            <m:t>2</m:t>
          </m:r>
          <m:r>
            <m:t>,</m:t>
          </m:r>
          <m:r>
            <m:t>3</m:t>
          </m:r>
          <m:r>
            <m:t>,</m:t>
          </m:r>
          <m:r>
            <m:t>7</m:t>
          </m:r>
          <m:r>
            <m:t>,</m:t>
          </m:r>
          <m:r>
            <m:t>8</m:t>
          </m:r>
          <m:r>
            <m:t>,</m:t>
          </m:r>
          <m:r>
            <m:t>9</m:t>
          </m:r>
          <m:r>
            <m:t>,</m:t>
          </m:r>
          <m:r>
            <m:t>11</m:t>
          </m:r>
        </m:oMath>
      </m:oMathPara>
    </w:p>
    <w:p>
      <w:pPr>
        <w:pStyle w:val="FirstParagraph"/>
      </w:pPr>
      <w:r>
        <w:t xml:space="preserve">.</w:t>
      </w:r>
    </w:p>
    <w:p>
      <w:pPr>
        <w:pStyle w:val="BodyText"/>
      </w:pPr>
      <w:r>
        <w:t xml:space="preserve">La médiane sera l’observation qui occupera le rang</w:t>
      </w:r>
      <w:r>
        <w:t xml:space="preserve"> </w:t>
      </w:r>
      <m:oMath>
        <m:f>
          <m:fPr>
            <m:type m:val="bar"/>
          </m:fPr>
          <m:num>
            <m:r>
              <m:t>7</m:t>
            </m:r>
            <m:r>
              <m:t>+</m:t>
            </m:r>
            <m:r>
              <m:t>1</m:t>
            </m:r>
          </m:num>
          <m:den>
            <m:r>
              <m:t>2</m:t>
            </m:r>
          </m:den>
        </m:f>
      </m:oMath>
      <w:r>
        <w:t xml:space="preserve"> </w:t>
      </w:r>
      <w:r>
        <w:t xml:space="preserve">(soit la</w:t>
      </w:r>
      <w:r>
        <w:t xml:space="preserve"> </w:t>
      </w:r>
      <m:oMath>
        <m:sSup>
          <m:e>
            <m:r>
              <m:t>4</m:t>
            </m:r>
          </m:e>
          <m:sup>
            <m:r>
              <m:t>e</m:t>
            </m:r>
          </m:sup>
        </m:sSup>
      </m:oMath>
      <w:r>
        <w:t xml:space="preserve"> </w:t>
      </w:r>
      <w:r>
        <w:t xml:space="preserve">observation) de la série. Or, la</w:t>
      </w:r>
      <w:r>
        <w:t xml:space="preserve"> </w:t>
      </w:r>
      <m:oMath>
        <m:sSup>
          <m:e>
            <m:r>
              <m:t>4</m:t>
            </m:r>
          </m:e>
          <m:sup>
            <m:r>
              <m:t>e</m:t>
            </m:r>
          </m:sup>
        </m:sSup>
      </m:oMath>
      <w:r>
        <w:t xml:space="preserve"> </w:t>
      </w:r>
      <w:r>
        <w:t xml:space="preserve">observation de la série a pour valeur 4. La médiane vaut donc 4.</w:t>
      </w:r>
    </w:p>
    <w:p>
      <w:pPr>
        <w:pStyle w:val="BodyText"/>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BodyText"/>
      </w:pPr>
      <w:r>
        <w:t xml:space="preserve">Soit une autre série statistique, contenant cette fois un nombre pair de sujets (n=8):</w:t>
      </w:r>
    </w:p>
    <w:p>
      <w:pPr>
        <w:pStyle w:val="BodyText"/>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oMath>
      </m:oMathPara>
    </w:p>
    <w:p>
      <w:pPr>
        <w:pStyle w:val="FirstParagraph"/>
      </w:pPr>
      <w:r>
        <w:t xml:space="preserve">On commence par ordonnée la série:</w:t>
      </w:r>
    </w:p>
    <w:p>
      <w:pPr>
        <w:pStyle w:val="BodyText"/>
      </w:pPr>
      <m:oMathPara>
        <m:oMathParaPr>
          <m:jc m:val="center"/>
        </m:oMathParaPr>
        <m:oMath>
          <m:r>
            <m:t>2</m:t>
          </m:r>
          <m:r>
            <m:t>,</m:t>
          </m:r>
          <m:r>
            <m:t>3</m:t>
          </m:r>
          <m:r>
            <m:t>,</m:t>
          </m:r>
          <m:r>
            <m:t>6</m:t>
          </m:r>
          <m:r>
            <m:t>,</m:t>
          </m:r>
          <m:r>
            <m:t>7</m:t>
          </m:r>
          <m:r>
            <m:t>,</m:t>
          </m:r>
          <m:r>
            <m:t>8</m:t>
          </m:r>
          <m:r>
            <m:t>,</m:t>
          </m:r>
          <m:r>
            <m:t>9</m:t>
          </m:r>
          <m:r>
            <m:t>,</m:t>
          </m:r>
          <m:r>
            <m:t>11</m:t>
          </m:r>
          <m:r>
            <m:t>,</m:t>
          </m:r>
          <m:r>
            <m:t>14</m:t>
          </m:r>
        </m:oMath>
      </m:oMathPara>
    </w:p>
    <w:p>
      <w:pPr>
        <w:pStyle w:val="FirstParagraph"/>
      </w:pPr>
      <w:r>
        <w:t xml:space="preserve">On calcule ensuite le rang médian:</w:t>
      </w:r>
      <w:r>
        <w:t xml:space="preserve"> </w:t>
      </w:r>
      <m:oMath>
        <m:f>
          <m:fPr>
            <m:type m:val="bar"/>
          </m:fPr>
          <m:num>
            <m:r>
              <m:t>8</m:t>
            </m:r>
            <m:r>
              <m:t>+</m:t>
            </m:r>
            <m:r>
              <m:t>1</m:t>
            </m:r>
          </m:num>
          <m:den>
            <m:r>
              <m:t>2</m:t>
            </m:r>
          </m:den>
        </m:f>
        <m:r>
          <m:t>=</m:t>
        </m:r>
        <m:r>
          <m:t>4.5</m:t>
        </m:r>
      </m:oMath>
      <w:r>
        <w:t xml:space="preserve">. Cette fois, le rang n’est pas un nombre rond. On en déduit que la médiane sera la valeur entre la</w:t>
      </w:r>
      <w:r>
        <w:t xml:space="preserve"> </w:t>
      </w:r>
      <m:oMath>
        <m:sSup>
          <m:e>
            <m:r>
              <m:t>4</m:t>
            </m:r>
          </m:e>
          <m:sup>
            <m:r>
              <m:t>e</m:t>
            </m:r>
          </m:sup>
        </m:sSup>
      </m:oMath>
      <w:r>
        <w:t xml:space="preserve"> </w:t>
      </w:r>
      <w:r>
        <w:t xml:space="preserve">observation (valant 7) et la</w:t>
      </w:r>
      <w:r>
        <w:t xml:space="preserve"> </w:t>
      </w:r>
      <m:oMath>
        <m:sSup>
          <m:e>
            <m:r>
              <m:t>5</m:t>
            </m:r>
          </m:e>
          <m:sup>
            <m:r>
              <m:t>e</m:t>
            </m:r>
          </m:sup>
        </m:sSup>
      </m:oMath>
      <w:r>
        <w:t xml:space="preserve"> </w:t>
      </w:r>
      <w:r>
        <w:t xml:space="preserve">observation de la série (valant 8). Par convention, on prend la moyenne de ces deux valeurs, ce qui donne 7.5.</w:t>
      </w:r>
    </w:p>
    <w:p>
      <w:pPr>
        <w:pStyle w:val="BodyText"/>
      </w:pP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BodyText"/>
      </w:pPr>
      <m:oMathPara>
        <m:oMathParaPr>
          <m:jc m:val="center"/>
        </m:oMathParaPr>
        <m:oMath>
          <m:r>
            <m:t>*</m:t>
          </m:r>
          <m:r>
            <m:t>*</m:t>
          </m:r>
          <m:r>
            <m:t>S</m:t>
          </m:r>
          <m:r>
            <m:t>é</m:t>
          </m:r>
          <m:r>
            <m:t>r</m:t>
          </m:r>
          <m:r>
            <m:t>i</m:t>
          </m:r>
          <m:r>
            <m:t>e</m:t>
          </m:r>
          <m:r>
            <m:t>3</m:t>
          </m:r>
          <m:r>
            <m:t>*</m:t>
          </m:r>
          <m:r>
            <m:t>*</m:t>
          </m:r>
          <m:r>
            <m:t>2</m:t>
          </m:r>
          <m:r>
            <m:t>,</m:t>
          </m:r>
          <m:r>
            <m:t>3</m:t>
          </m:r>
          <m:r>
            <m:t>,</m:t>
          </m:r>
          <m:r>
            <m:t>6</m:t>
          </m:r>
          <m:r>
            <m:t>,</m:t>
          </m:r>
          <m:r>
            <m:t>8</m:t>
          </m:r>
          <m:r>
            <m:t>,</m:t>
          </m:r>
          <m:r>
            <m:t>8</m:t>
          </m:r>
          <m:r>
            <m:t>,</m:t>
          </m:r>
          <m:r>
            <m:t>9</m:t>
          </m:r>
          <m:r>
            <m:t>,</m:t>
          </m:r>
          <m:r>
            <m:t>11</m:t>
          </m:r>
          <m:r>
            <m:t>,</m:t>
          </m:r>
          <m:r>
            <m:t>14</m:t>
          </m:r>
        </m:oMath>
      </m:oMathPara>
    </w:p>
    <w:p>
      <w:pPr>
        <w:pStyle w:val="FirstParagraph"/>
      </w:pPr>
      <w:r>
        <w:t xml:space="preserve">.</w:t>
      </w:r>
      <w:r>
        <w:t xml:space="preserve"> </w:t>
      </w:r>
      <w:r>
        <w:t xml:space="preserve">Dans ce cas, étant donné que le rang médian vaut 4.5, la médiane sera la moyenne entre 8 et 8, soit 8.</w:t>
      </w:r>
    </w:p>
    <w:p>
      <w:pPr>
        <w:pStyle w:val="Heading5"/>
      </w:pPr>
      <w:bookmarkStart w:id="25" w:name="au-depart-de-tableaux-de-frequences"/>
      <w:bookmarkEnd w:id="25"/>
      <w:r>
        <w:t xml:space="preserve">Au départ de tableaux de fréquences</w:t>
      </w:r>
    </w:p>
    <w:p>
      <w:pPr>
        <w:pStyle w:val="FirstParagraph"/>
      </w:pPr>
      <w:r>
        <w:t xml:space="preserve">La Table 3.6.1 est le tableau de fréquence des données de la série 1.</w:t>
      </w:r>
    </w:p>
    <w:p>
      <w:pPr>
        <w:pStyle w:val="BodyText"/>
      </w:pPr>
      <w:r>
        <w:t xml:space="preserve">La Table 3.6.2</w:t>
      </w:r>
    </w:p>
    <w:p>
      <w:pPr>
        <w:pStyle w:val="BodyText"/>
      </w:pPr>
      <w:r>
        <w:t xml:space="preserve">La Table 3.6.3</w:t>
      </w:r>
    </w:p>
    <w:p>
      <w:pPr>
        <w:pStyle w:val="Heading4"/>
      </w:pPr>
      <w:bookmarkStart w:id="26" w:name="realisation-graphique-le-boxplot"/>
      <w:bookmarkEnd w:id="26"/>
      <w:r>
        <w:t xml:space="preserve">Réalisation graphique: le boxplot</w:t>
      </w:r>
    </w:p>
    <w:p>
      <w:pPr>
        <w:pStyle w:val="Heading3"/>
      </w:pPr>
      <w:bookmarkStart w:id="27" w:name="variables-quantitatives-continues"/>
      <w:bookmarkEnd w:id="27"/>
      <w:r>
        <w:t xml:space="preserve">Variables quantitatives continues</w:t>
      </w:r>
    </w:p>
    <w:p>
      <w:pPr>
        <w:pStyle w:val="Heading4"/>
      </w:pPr>
      <w:bookmarkStart w:id="28" w:name="simplification-des-donnees-calcul-de-la-mediane-et-des-quartiles-1"/>
      <w:bookmarkEnd w:id="28"/>
      <w:r>
        <w:t xml:space="preserve">Simplification des données: calcul de la médiane et des quartiles</w:t>
      </w:r>
    </w:p>
    <w:p>
      <w:pPr>
        <w:pStyle w:val="Heading5"/>
      </w:pPr>
      <w:bookmarkStart w:id="29" w:name="au-depart-de-donnees-brutes-1"/>
      <w:bookmarkEnd w:id="29"/>
      <w:r>
        <w:t xml:space="preserve">Au départ de données brutes</w:t>
      </w:r>
    </w:p>
    <w:p>
      <w:pPr>
        <w:pStyle w:val="Heading5"/>
      </w:pPr>
      <w:bookmarkStart w:id="30" w:name="au-depart-de-tableaux-de-frequences-1"/>
      <w:bookmarkEnd w:id="30"/>
      <w:r>
        <w:t xml:space="preserve">Au départ de tableaux de fréquences</w:t>
      </w:r>
    </w:p>
    <w:p>
      <w:pPr>
        <w:pStyle w:val="Heading4"/>
      </w:pPr>
      <w:bookmarkStart w:id="31" w:name="realisation-graphique-le-boxplot-1"/>
      <w:bookmarkEnd w:id="31"/>
      <w:r>
        <w:t xml:space="preserve">Réalisation graphique: le boxplot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2e9b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Delacre, Leys, Mora, Lakens</dc:creator>
  <dcterms:created xsi:type="dcterms:W3CDTF">2018-10-07T17:10:32Z</dcterms:created>
  <dcterms:modified xsi:type="dcterms:W3CDTF">2018-10-07T17:10:32Z</dcterms:modified>
</cp:coreProperties>
</file>