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3E4A" w14:textId="77777777" w:rsidR="00066934" w:rsidRDefault="002B5E99" w:rsidP="00174032">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A2</w:t>
      </w:r>
      <w:r w:rsidR="00A5777D">
        <w:rPr>
          <w:rFonts w:ascii="Times New Roman" w:hAnsi="Times New Roman" w:cs="Times New Roman"/>
          <w:b/>
          <w:sz w:val="24"/>
          <w:szCs w:val="24"/>
          <w:lang w:val="en-US"/>
        </w:rPr>
        <w:t>.3</w:t>
      </w:r>
    </w:p>
    <w:p w14:paraId="27757959" w14:textId="77777777" w:rsidR="00174032" w:rsidRDefault="00174032" w:rsidP="00174032">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are unequal across groups and sample sizes are equal (condition c).</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64B535B7" w14:textId="77777777" w:rsidTr="00503D5F">
        <w:trPr>
          <w:trHeight w:val="1045"/>
        </w:trPr>
        <w:tc>
          <w:tcPr>
            <w:tcW w:w="1568" w:type="dxa"/>
            <w:tcBorders>
              <w:bottom w:val="single" w:sz="4" w:space="0" w:color="auto"/>
            </w:tcBorders>
          </w:tcPr>
          <w:p w14:paraId="60BD045A" w14:textId="77777777" w:rsidR="007B1BB5" w:rsidRPr="006C252F" w:rsidRDefault="007B1BB5" w:rsidP="007B1BB5">
            <w:pPr>
              <w:spacing w:line="360" w:lineRule="auto"/>
              <w:jc w:val="center"/>
              <w:rPr>
                <w:lang w:val="en-US"/>
              </w:rPr>
            </w:pPr>
          </w:p>
        </w:tc>
        <w:tc>
          <w:tcPr>
            <w:tcW w:w="6284" w:type="dxa"/>
            <w:gridSpan w:val="4"/>
            <w:tcBorders>
              <w:bottom w:val="single" w:sz="4" w:space="0" w:color="auto"/>
            </w:tcBorders>
            <w:vAlign w:val="center"/>
          </w:tcPr>
          <w:p w14:paraId="4E5CD34D" w14:textId="77777777" w:rsidR="007B1BB5" w:rsidRPr="006C252F" w:rsidRDefault="007B1BB5" w:rsidP="007B1BB5">
            <w:pPr>
              <w:spacing w:line="360" w:lineRule="auto"/>
              <w:jc w:val="center"/>
              <w:rPr>
                <w:b/>
                <w:lang w:val="en-US"/>
              </w:rPr>
            </w:pPr>
            <w:r w:rsidRPr="006C252F">
              <w:rPr>
                <w:b/>
                <w:lang w:val="en-US"/>
              </w:rPr>
              <w:t>Absolute deviation between empirical and theoretical means</w:t>
            </w:r>
          </w:p>
          <w:p w14:paraId="5A230C4F"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0D9C1CA7" w14:textId="77777777" w:rsidR="007B1BB5" w:rsidRPr="006C252F" w:rsidRDefault="007B1BB5" w:rsidP="007B1BB5">
            <w:pPr>
              <w:spacing w:line="360" w:lineRule="auto"/>
              <w:jc w:val="center"/>
              <w:rPr>
                <w:b/>
                <w:lang w:val="en-US"/>
              </w:rPr>
            </w:pPr>
            <w:r w:rsidRPr="006C252F">
              <w:rPr>
                <w:b/>
                <w:lang w:val="en-US"/>
              </w:rPr>
              <w:t>Ratio between empirical and theoretical variances</w:t>
            </w:r>
          </w:p>
          <w:p w14:paraId="3903E000" w14:textId="77777777" w:rsidR="007B1BB5" w:rsidRPr="00066934" w:rsidRDefault="00A546D1"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4D7EF9AF"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16DAA5E5"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5D1AF1B2"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6DB719A5"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245FC2EF"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08C60532"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2FC215BF"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3C91E46"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159B2DC3"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7D374C81" w14:textId="77777777" w:rsidR="007B1BB5" w:rsidRPr="00503D5F" w:rsidRDefault="007B1BB5" w:rsidP="007B1BB5">
            <w:pPr>
              <w:spacing w:line="360" w:lineRule="auto"/>
              <w:jc w:val="center"/>
              <w:rPr>
                <w:b/>
              </w:rPr>
            </w:pPr>
            <w:r w:rsidRPr="00503D5F">
              <w:rPr>
                <w:b/>
              </w:rPr>
              <w:t>Standard deviation</w:t>
            </w:r>
          </w:p>
        </w:tc>
      </w:tr>
      <w:tr w:rsidR="006C252F" w14:paraId="5167E277" w14:textId="77777777" w:rsidTr="00926E6C">
        <w:trPr>
          <w:trHeight w:val="1045"/>
        </w:trPr>
        <w:tc>
          <w:tcPr>
            <w:tcW w:w="1568" w:type="dxa"/>
            <w:tcBorders>
              <w:top w:val="single" w:sz="4" w:space="0" w:color="auto"/>
              <w:right w:val="single" w:sz="4" w:space="0" w:color="auto"/>
            </w:tcBorders>
            <w:vAlign w:val="center"/>
          </w:tcPr>
          <w:p w14:paraId="1B3D7C21" w14:textId="259FCBCE" w:rsidR="006C252F" w:rsidRDefault="006C252F" w:rsidP="006C252F">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20CFB164" w14:textId="77777777" w:rsidR="006C252F" w:rsidRDefault="006C252F" w:rsidP="006C252F">
            <w:pPr>
              <w:jc w:val="center"/>
              <w:rPr>
                <w:rFonts w:ascii="Calibri" w:hAnsi="Calibri" w:cs="Calibri"/>
                <w:b/>
                <w:bCs/>
                <w:color w:val="000000"/>
              </w:rPr>
            </w:pPr>
            <w:r>
              <w:rPr>
                <w:rFonts w:ascii="Calibri" w:hAnsi="Calibri" w:cs="Calibri"/>
                <w:b/>
                <w:bCs/>
                <w:color w:val="000000"/>
              </w:rPr>
              <w:t>0,080</w:t>
            </w:r>
          </w:p>
        </w:tc>
        <w:tc>
          <w:tcPr>
            <w:tcW w:w="1275" w:type="dxa"/>
            <w:tcBorders>
              <w:top w:val="single" w:sz="4" w:space="0" w:color="auto"/>
            </w:tcBorders>
            <w:vAlign w:val="center"/>
          </w:tcPr>
          <w:p w14:paraId="5AD51408"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14:paraId="3B6E546B" w14:textId="77777777" w:rsidR="006C252F" w:rsidRDefault="006C252F" w:rsidP="006C252F">
            <w:pPr>
              <w:jc w:val="center"/>
              <w:rPr>
                <w:rFonts w:ascii="Calibri" w:hAnsi="Calibri" w:cs="Calibri"/>
                <w:b/>
                <w:bCs/>
                <w:color w:val="000000"/>
              </w:rPr>
            </w:pPr>
            <w:r>
              <w:rPr>
                <w:rFonts w:ascii="Calibri" w:hAnsi="Calibri" w:cs="Calibri"/>
                <w:b/>
                <w:bCs/>
                <w:color w:val="000000"/>
              </w:rPr>
              <w:t>0,010</w:t>
            </w:r>
          </w:p>
        </w:tc>
        <w:tc>
          <w:tcPr>
            <w:tcW w:w="2499" w:type="dxa"/>
            <w:tcBorders>
              <w:top w:val="single" w:sz="4" w:space="0" w:color="auto"/>
            </w:tcBorders>
            <w:vAlign w:val="center"/>
          </w:tcPr>
          <w:p w14:paraId="12A95ABA" w14:textId="77777777" w:rsidR="006C252F" w:rsidRDefault="006C252F" w:rsidP="006C252F">
            <w:pPr>
              <w:jc w:val="center"/>
              <w:rPr>
                <w:rFonts w:ascii="Calibri" w:hAnsi="Calibri" w:cs="Calibri"/>
                <w:b/>
                <w:bCs/>
                <w:color w:val="000000"/>
              </w:rPr>
            </w:pPr>
            <w:r>
              <w:rPr>
                <w:rFonts w:ascii="Calibri" w:hAnsi="Calibri" w:cs="Calibri"/>
                <w:b/>
                <w:bCs/>
                <w:color w:val="000000"/>
              </w:rPr>
              <w:t>0,015</w:t>
            </w:r>
          </w:p>
        </w:tc>
        <w:tc>
          <w:tcPr>
            <w:tcW w:w="1187" w:type="dxa"/>
            <w:vAlign w:val="center"/>
          </w:tcPr>
          <w:p w14:paraId="060A3A7C" w14:textId="77777777" w:rsidR="006C252F" w:rsidRDefault="006C252F" w:rsidP="006C252F">
            <w:pPr>
              <w:jc w:val="center"/>
              <w:rPr>
                <w:rFonts w:ascii="Calibri" w:hAnsi="Calibri" w:cs="Calibri"/>
                <w:b/>
                <w:bCs/>
                <w:color w:val="000000"/>
              </w:rPr>
            </w:pPr>
            <w:r>
              <w:rPr>
                <w:rFonts w:ascii="Calibri" w:hAnsi="Calibri" w:cs="Calibri"/>
                <w:b/>
                <w:bCs/>
                <w:color w:val="000000"/>
              </w:rPr>
              <w:t>1,753</w:t>
            </w:r>
          </w:p>
        </w:tc>
        <w:tc>
          <w:tcPr>
            <w:tcW w:w="1275" w:type="dxa"/>
            <w:vAlign w:val="center"/>
          </w:tcPr>
          <w:p w14:paraId="51726144" w14:textId="77777777" w:rsidR="006C252F" w:rsidRDefault="006C252F" w:rsidP="006C252F">
            <w:pPr>
              <w:jc w:val="center"/>
              <w:rPr>
                <w:rFonts w:ascii="Calibri" w:hAnsi="Calibri" w:cs="Calibri"/>
                <w:b/>
                <w:bCs/>
                <w:color w:val="000000"/>
              </w:rPr>
            </w:pPr>
            <w:r>
              <w:rPr>
                <w:rFonts w:ascii="Calibri" w:hAnsi="Calibri" w:cs="Calibri"/>
                <w:b/>
                <w:bCs/>
                <w:color w:val="000000"/>
              </w:rPr>
              <w:t>1,005</w:t>
            </w:r>
          </w:p>
        </w:tc>
        <w:tc>
          <w:tcPr>
            <w:tcW w:w="1276" w:type="dxa"/>
            <w:vAlign w:val="center"/>
          </w:tcPr>
          <w:p w14:paraId="2C0A4CB7" w14:textId="77777777" w:rsidR="006C252F" w:rsidRDefault="006C252F" w:rsidP="006C252F">
            <w:pPr>
              <w:jc w:val="center"/>
              <w:rPr>
                <w:rFonts w:ascii="Calibri" w:hAnsi="Calibri" w:cs="Calibri"/>
                <w:b/>
                <w:bCs/>
                <w:color w:val="000000"/>
              </w:rPr>
            </w:pPr>
            <w:r>
              <w:rPr>
                <w:rFonts w:ascii="Calibri" w:hAnsi="Calibri" w:cs="Calibri"/>
                <w:b/>
                <w:bCs/>
                <w:color w:val="000000"/>
              </w:rPr>
              <w:t>1,175</w:t>
            </w:r>
          </w:p>
        </w:tc>
        <w:tc>
          <w:tcPr>
            <w:tcW w:w="2568" w:type="dxa"/>
            <w:vAlign w:val="center"/>
          </w:tcPr>
          <w:p w14:paraId="222DC83F" w14:textId="77777777" w:rsidR="006C252F" w:rsidRDefault="006C252F" w:rsidP="006C252F">
            <w:pPr>
              <w:jc w:val="center"/>
              <w:rPr>
                <w:rFonts w:ascii="Calibri" w:hAnsi="Calibri" w:cs="Calibri"/>
                <w:b/>
                <w:bCs/>
                <w:color w:val="000000"/>
              </w:rPr>
            </w:pPr>
            <w:r>
              <w:rPr>
                <w:rFonts w:ascii="Calibri" w:hAnsi="Calibri" w:cs="Calibri"/>
                <w:b/>
                <w:bCs/>
                <w:color w:val="000000"/>
              </w:rPr>
              <w:t>0,208</w:t>
            </w:r>
          </w:p>
        </w:tc>
      </w:tr>
      <w:tr w:rsidR="006C252F" w14:paraId="4C36CC29" w14:textId="77777777" w:rsidTr="00926E6C">
        <w:trPr>
          <w:trHeight w:val="1011"/>
        </w:trPr>
        <w:tc>
          <w:tcPr>
            <w:tcW w:w="1568" w:type="dxa"/>
            <w:tcBorders>
              <w:right w:val="single" w:sz="4" w:space="0" w:color="auto"/>
            </w:tcBorders>
            <w:vAlign w:val="center"/>
          </w:tcPr>
          <w:p w14:paraId="1967D74F" w14:textId="6D9191D5" w:rsidR="006C252F" w:rsidRDefault="006C252F" w:rsidP="006C252F">
            <w:pPr>
              <w:spacing w:line="360" w:lineRule="auto"/>
              <w:jc w:val="center"/>
            </w:pPr>
            <w:r w:rsidRPr="00066934">
              <w:rPr>
                <w:b/>
              </w:rPr>
              <w:t xml:space="preserve">Glass’s </w:t>
            </w:r>
            <w:r w:rsidRPr="005D20B7">
              <w:rPr>
                <w:b/>
                <w:i/>
                <w:iCs/>
              </w:rPr>
              <w:t>d</w:t>
            </w:r>
            <w:r w:rsidRPr="00066934">
              <w:rPr>
                <w:b/>
                <w:vertAlign w:val="subscript"/>
              </w:rPr>
              <w:t>1</w:t>
            </w:r>
          </w:p>
        </w:tc>
        <w:tc>
          <w:tcPr>
            <w:tcW w:w="1234" w:type="dxa"/>
            <w:tcBorders>
              <w:left w:val="single" w:sz="4" w:space="0" w:color="auto"/>
            </w:tcBorders>
            <w:vAlign w:val="center"/>
          </w:tcPr>
          <w:p w14:paraId="3FBBB0A4" w14:textId="77777777" w:rsidR="006C252F" w:rsidRDefault="006C252F" w:rsidP="006C252F">
            <w:pPr>
              <w:jc w:val="center"/>
              <w:rPr>
                <w:rFonts w:ascii="Calibri" w:hAnsi="Calibri" w:cs="Calibri"/>
                <w:b/>
                <w:bCs/>
                <w:color w:val="000000"/>
              </w:rPr>
            </w:pPr>
            <w:r>
              <w:rPr>
                <w:rFonts w:ascii="Calibri" w:hAnsi="Calibri" w:cs="Calibri"/>
                <w:b/>
                <w:bCs/>
                <w:color w:val="000000"/>
              </w:rPr>
              <w:t>0,037</w:t>
            </w:r>
          </w:p>
        </w:tc>
        <w:tc>
          <w:tcPr>
            <w:tcW w:w="1275" w:type="dxa"/>
            <w:vAlign w:val="center"/>
          </w:tcPr>
          <w:p w14:paraId="1E744D3C"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6EC3BF7A" w14:textId="77777777" w:rsidR="006C252F" w:rsidRDefault="006C252F" w:rsidP="006C252F">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66958C80" w14:textId="77777777" w:rsidR="006C252F" w:rsidRDefault="006C252F" w:rsidP="006C252F">
            <w:pPr>
              <w:jc w:val="center"/>
              <w:rPr>
                <w:rFonts w:ascii="Calibri" w:hAnsi="Calibri" w:cs="Calibri"/>
                <w:b/>
                <w:bCs/>
                <w:color w:val="000000"/>
              </w:rPr>
            </w:pPr>
            <w:r>
              <w:rPr>
                <w:rFonts w:ascii="Calibri" w:hAnsi="Calibri" w:cs="Calibri"/>
                <w:b/>
                <w:bCs/>
                <w:color w:val="000000"/>
              </w:rPr>
              <w:t>0,007</w:t>
            </w:r>
          </w:p>
        </w:tc>
        <w:tc>
          <w:tcPr>
            <w:tcW w:w="1187" w:type="dxa"/>
            <w:vAlign w:val="center"/>
          </w:tcPr>
          <w:p w14:paraId="123BFAF8" w14:textId="77777777" w:rsidR="006C252F" w:rsidRDefault="006C252F" w:rsidP="006C252F">
            <w:pPr>
              <w:jc w:val="center"/>
              <w:rPr>
                <w:rFonts w:ascii="Calibri" w:hAnsi="Calibri" w:cs="Calibri"/>
                <w:b/>
                <w:bCs/>
                <w:color w:val="000000"/>
              </w:rPr>
            </w:pPr>
            <w:r>
              <w:rPr>
                <w:rFonts w:ascii="Calibri" w:hAnsi="Calibri" w:cs="Calibri"/>
                <w:b/>
                <w:bCs/>
                <w:color w:val="000000"/>
              </w:rPr>
              <w:t>1,004</w:t>
            </w:r>
          </w:p>
        </w:tc>
        <w:tc>
          <w:tcPr>
            <w:tcW w:w="1275" w:type="dxa"/>
            <w:vAlign w:val="center"/>
          </w:tcPr>
          <w:p w14:paraId="2217C839" w14:textId="77777777" w:rsidR="006C252F" w:rsidRDefault="006C252F" w:rsidP="006C252F">
            <w:pPr>
              <w:jc w:val="center"/>
              <w:rPr>
                <w:rFonts w:ascii="Calibri" w:hAnsi="Calibri" w:cs="Calibri"/>
                <w:b/>
                <w:bCs/>
                <w:color w:val="000000"/>
              </w:rPr>
            </w:pPr>
            <w:r>
              <w:rPr>
                <w:rFonts w:ascii="Calibri" w:hAnsi="Calibri" w:cs="Calibri"/>
                <w:b/>
                <w:bCs/>
                <w:color w:val="000000"/>
              </w:rPr>
              <w:t>0,888</w:t>
            </w:r>
          </w:p>
        </w:tc>
        <w:tc>
          <w:tcPr>
            <w:tcW w:w="1276" w:type="dxa"/>
            <w:vAlign w:val="center"/>
          </w:tcPr>
          <w:p w14:paraId="0568FB2B" w14:textId="77777777" w:rsidR="006C252F" w:rsidRDefault="006C252F" w:rsidP="006C252F">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27784689" w14:textId="77777777" w:rsidR="006C252F" w:rsidRDefault="006C252F" w:rsidP="006C252F">
            <w:pPr>
              <w:jc w:val="center"/>
              <w:rPr>
                <w:rFonts w:ascii="Calibri" w:hAnsi="Calibri" w:cs="Calibri"/>
                <w:b/>
                <w:bCs/>
                <w:color w:val="000000"/>
              </w:rPr>
            </w:pPr>
            <w:r>
              <w:rPr>
                <w:rFonts w:ascii="Calibri" w:hAnsi="Calibri" w:cs="Calibri"/>
                <w:b/>
                <w:bCs/>
                <w:color w:val="000000"/>
              </w:rPr>
              <w:t>0,030</w:t>
            </w:r>
          </w:p>
        </w:tc>
      </w:tr>
      <w:tr w:rsidR="006C252F" w14:paraId="3F71BA46" w14:textId="77777777" w:rsidTr="00926E6C">
        <w:trPr>
          <w:trHeight w:val="1045"/>
        </w:trPr>
        <w:tc>
          <w:tcPr>
            <w:tcW w:w="1568" w:type="dxa"/>
            <w:tcBorders>
              <w:right w:val="single" w:sz="4" w:space="0" w:color="auto"/>
            </w:tcBorders>
            <w:vAlign w:val="center"/>
          </w:tcPr>
          <w:p w14:paraId="6D432B4A" w14:textId="4F0293AD" w:rsidR="006C252F" w:rsidRDefault="006C252F" w:rsidP="006C252F">
            <w:pPr>
              <w:spacing w:line="360" w:lineRule="auto"/>
              <w:jc w:val="center"/>
            </w:pPr>
            <w:r w:rsidRPr="00066934">
              <w:rPr>
                <w:b/>
              </w:rPr>
              <w:t xml:space="preserve">Glass’s </w:t>
            </w:r>
            <w:r w:rsidRPr="005D20B7">
              <w:rPr>
                <w:b/>
                <w:i/>
                <w:iCs/>
              </w:rPr>
              <w:t>d</w:t>
            </w:r>
            <w:r w:rsidRPr="005D20B7">
              <w:rPr>
                <w:b/>
                <w:vertAlign w:val="subscript"/>
              </w:rPr>
              <w:t>2</w:t>
            </w:r>
          </w:p>
        </w:tc>
        <w:tc>
          <w:tcPr>
            <w:tcW w:w="1234" w:type="dxa"/>
            <w:tcBorders>
              <w:left w:val="single" w:sz="4" w:space="0" w:color="auto"/>
            </w:tcBorders>
            <w:vAlign w:val="center"/>
          </w:tcPr>
          <w:p w14:paraId="44E0B363" w14:textId="77777777" w:rsidR="006C252F" w:rsidRDefault="006C252F" w:rsidP="006C252F">
            <w:pPr>
              <w:jc w:val="center"/>
              <w:rPr>
                <w:rFonts w:ascii="Calibri" w:hAnsi="Calibri" w:cs="Calibri"/>
                <w:b/>
                <w:bCs/>
                <w:color w:val="000000"/>
              </w:rPr>
            </w:pPr>
            <w:r>
              <w:rPr>
                <w:rFonts w:ascii="Calibri" w:hAnsi="Calibri" w:cs="Calibri"/>
                <w:b/>
                <w:bCs/>
                <w:color w:val="000000"/>
              </w:rPr>
              <w:t>0,230</w:t>
            </w:r>
          </w:p>
        </w:tc>
        <w:tc>
          <w:tcPr>
            <w:tcW w:w="1275" w:type="dxa"/>
            <w:vAlign w:val="center"/>
          </w:tcPr>
          <w:p w14:paraId="7B4EC064"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1737BDF5" w14:textId="77777777" w:rsidR="006C252F" w:rsidRDefault="006C252F" w:rsidP="006C252F">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507F1CC5" w14:textId="77777777" w:rsidR="006C252F" w:rsidRDefault="006C252F" w:rsidP="006C252F">
            <w:pPr>
              <w:jc w:val="center"/>
              <w:rPr>
                <w:rFonts w:ascii="Calibri" w:hAnsi="Calibri" w:cs="Calibri"/>
                <w:b/>
                <w:bCs/>
                <w:color w:val="000000"/>
              </w:rPr>
            </w:pPr>
            <w:r>
              <w:rPr>
                <w:rFonts w:ascii="Calibri" w:hAnsi="Calibri" w:cs="Calibri"/>
                <w:b/>
                <w:bCs/>
                <w:color w:val="000000"/>
              </w:rPr>
              <w:t>0,033</w:t>
            </w:r>
          </w:p>
        </w:tc>
        <w:tc>
          <w:tcPr>
            <w:tcW w:w="1187" w:type="dxa"/>
            <w:vAlign w:val="center"/>
          </w:tcPr>
          <w:p w14:paraId="377F9752" w14:textId="77777777" w:rsidR="006C252F" w:rsidRDefault="006C252F" w:rsidP="006C252F">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34DCF1E4" w14:textId="77777777" w:rsidR="006C252F" w:rsidRDefault="006C252F" w:rsidP="006C252F">
            <w:pPr>
              <w:jc w:val="center"/>
              <w:rPr>
                <w:rFonts w:ascii="Calibri" w:hAnsi="Calibri" w:cs="Calibri"/>
                <w:b/>
                <w:bCs/>
                <w:color w:val="000000"/>
              </w:rPr>
            </w:pPr>
            <w:r>
              <w:rPr>
                <w:rFonts w:ascii="Calibri" w:hAnsi="Calibri" w:cs="Calibri"/>
                <w:b/>
                <w:bCs/>
                <w:color w:val="000000"/>
              </w:rPr>
              <w:t>0,883</w:t>
            </w:r>
          </w:p>
        </w:tc>
        <w:tc>
          <w:tcPr>
            <w:tcW w:w="1276" w:type="dxa"/>
            <w:vAlign w:val="center"/>
          </w:tcPr>
          <w:p w14:paraId="1B388E26" w14:textId="77777777" w:rsidR="006C252F" w:rsidRDefault="006C252F" w:rsidP="006C252F">
            <w:pPr>
              <w:jc w:val="center"/>
              <w:rPr>
                <w:rFonts w:ascii="Calibri" w:hAnsi="Calibri" w:cs="Calibri"/>
                <w:b/>
                <w:bCs/>
                <w:color w:val="000000"/>
              </w:rPr>
            </w:pPr>
            <w:r>
              <w:rPr>
                <w:rFonts w:ascii="Calibri" w:hAnsi="Calibri" w:cs="Calibri"/>
                <w:b/>
                <w:bCs/>
                <w:color w:val="000000"/>
              </w:rPr>
              <w:t>0,974</w:t>
            </w:r>
          </w:p>
        </w:tc>
        <w:tc>
          <w:tcPr>
            <w:tcW w:w="2568" w:type="dxa"/>
            <w:vAlign w:val="center"/>
          </w:tcPr>
          <w:p w14:paraId="63B204DF" w14:textId="77777777" w:rsidR="006C252F" w:rsidRDefault="006C252F" w:rsidP="006C252F">
            <w:pPr>
              <w:jc w:val="center"/>
              <w:rPr>
                <w:rFonts w:ascii="Calibri" w:hAnsi="Calibri" w:cs="Calibri"/>
                <w:b/>
                <w:bCs/>
                <w:color w:val="000000"/>
              </w:rPr>
            </w:pPr>
            <w:r>
              <w:rPr>
                <w:rFonts w:ascii="Calibri" w:hAnsi="Calibri" w:cs="Calibri"/>
                <w:b/>
                <w:bCs/>
                <w:color w:val="000000"/>
              </w:rPr>
              <w:t>0,032</w:t>
            </w:r>
          </w:p>
        </w:tc>
      </w:tr>
      <w:tr w:rsidR="006C252F" w14:paraId="535FB5B9" w14:textId="77777777" w:rsidTr="00926E6C">
        <w:trPr>
          <w:trHeight w:val="1011"/>
        </w:trPr>
        <w:tc>
          <w:tcPr>
            <w:tcW w:w="1568" w:type="dxa"/>
            <w:tcBorders>
              <w:right w:val="single" w:sz="4" w:space="0" w:color="auto"/>
            </w:tcBorders>
            <w:vAlign w:val="center"/>
          </w:tcPr>
          <w:p w14:paraId="0903F26A" w14:textId="555BB40D" w:rsidR="006C252F" w:rsidRDefault="006C252F" w:rsidP="006C252F">
            <w:pPr>
              <w:spacing w:line="360" w:lineRule="auto"/>
              <w:jc w:val="center"/>
            </w:pPr>
            <w:r w:rsidRPr="00066934">
              <w:rPr>
                <w:b/>
              </w:rPr>
              <w:t xml:space="preserve">Cohen’s </w:t>
            </w:r>
            <w:r w:rsidRPr="005D20B7">
              <w:rPr>
                <w:b/>
                <w:i/>
                <w:iCs/>
              </w:rPr>
              <w:t>d*</w:t>
            </w:r>
            <w:r>
              <w:t xml:space="preserve"> </w:t>
            </w:r>
          </w:p>
        </w:tc>
        <w:tc>
          <w:tcPr>
            <w:tcW w:w="1234" w:type="dxa"/>
            <w:tcBorders>
              <w:left w:val="single" w:sz="4" w:space="0" w:color="auto"/>
            </w:tcBorders>
            <w:vAlign w:val="center"/>
          </w:tcPr>
          <w:p w14:paraId="77777DF5" w14:textId="77777777" w:rsidR="006C252F" w:rsidRDefault="006C252F" w:rsidP="006C252F">
            <w:pPr>
              <w:jc w:val="center"/>
              <w:rPr>
                <w:rFonts w:ascii="Calibri" w:hAnsi="Calibri" w:cs="Calibri"/>
                <w:b/>
                <w:bCs/>
                <w:color w:val="000000"/>
              </w:rPr>
            </w:pPr>
            <w:r>
              <w:rPr>
                <w:rFonts w:ascii="Calibri" w:hAnsi="Calibri" w:cs="Calibri"/>
                <w:b/>
                <w:bCs/>
                <w:color w:val="000000"/>
              </w:rPr>
              <w:t>0,036</w:t>
            </w:r>
          </w:p>
        </w:tc>
        <w:tc>
          <w:tcPr>
            <w:tcW w:w="1275" w:type="dxa"/>
            <w:vAlign w:val="center"/>
          </w:tcPr>
          <w:p w14:paraId="3E281BB6"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3BBEAC3" w14:textId="77777777" w:rsidR="006C252F" w:rsidRDefault="006C252F" w:rsidP="006C252F">
            <w:pPr>
              <w:jc w:val="center"/>
              <w:rPr>
                <w:rFonts w:ascii="Calibri" w:hAnsi="Calibri" w:cs="Calibri"/>
                <w:b/>
                <w:bCs/>
                <w:color w:val="000000"/>
              </w:rPr>
            </w:pPr>
            <w:r>
              <w:rPr>
                <w:rFonts w:ascii="Calibri" w:hAnsi="Calibri" w:cs="Calibri"/>
                <w:b/>
                <w:bCs/>
                <w:color w:val="000000"/>
              </w:rPr>
              <w:t>0,003</w:t>
            </w:r>
          </w:p>
        </w:tc>
        <w:tc>
          <w:tcPr>
            <w:tcW w:w="2499" w:type="dxa"/>
            <w:vAlign w:val="center"/>
          </w:tcPr>
          <w:p w14:paraId="7B2A05EA" w14:textId="77777777" w:rsidR="006C252F" w:rsidRDefault="006C252F" w:rsidP="006C252F">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1631E25D" w14:textId="77777777" w:rsidR="006C252F" w:rsidRDefault="006C252F" w:rsidP="006C252F">
            <w:pPr>
              <w:jc w:val="center"/>
              <w:rPr>
                <w:rFonts w:ascii="Calibri" w:hAnsi="Calibri" w:cs="Calibri"/>
                <w:b/>
                <w:bCs/>
                <w:color w:val="000000"/>
              </w:rPr>
            </w:pPr>
            <w:r>
              <w:rPr>
                <w:rFonts w:ascii="Calibri" w:hAnsi="Calibri" w:cs="Calibri"/>
                <w:b/>
                <w:bCs/>
                <w:color w:val="000000"/>
              </w:rPr>
              <w:t>1,007</w:t>
            </w:r>
          </w:p>
        </w:tc>
        <w:tc>
          <w:tcPr>
            <w:tcW w:w="1275" w:type="dxa"/>
            <w:vAlign w:val="center"/>
          </w:tcPr>
          <w:p w14:paraId="12C5C31C" w14:textId="77777777" w:rsidR="006C252F" w:rsidRDefault="006C252F" w:rsidP="006C252F">
            <w:pPr>
              <w:jc w:val="center"/>
              <w:rPr>
                <w:rFonts w:ascii="Calibri" w:hAnsi="Calibri" w:cs="Calibri"/>
                <w:b/>
                <w:bCs/>
                <w:color w:val="000000"/>
              </w:rPr>
            </w:pPr>
            <w:r>
              <w:rPr>
                <w:rFonts w:ascii="Calibri" w:hAnsi="Calibri" w:cs="Calibri"/>
                <w:b/>
                <w:bCs/>
                <w:color w:val="000000"/>
              </w:rPr>
              <w:t>0,874</w:t>
            </w:r>
          </w:p>
        </w:tc>
        <w:tc>
          <w:tcPr>
            <w:tcW w:w="1276" w:type="dxa"/>
            <w:vAlign w:val="center"/>
          </w:tcPr>
          <w:p w14:paraId="47DABAED" w14:textId="77777777" w:rsidR="006C252F" w:rsidRDefault="006C252F" w:rsidP="006C252F">
            <w:pPr>
              <w:jc w:val="center"/>
              <w:rPr>
                <w:rFonts w:ascii="Calibri" w:hAnsi="Calibri" w:cs="Calibri"/>
                <w:b/>
                <w:bCs/>
                <w:color w:val="000000"/>
              </w:rPr>
            </w:pPr>
            <w:r>
              <w:rPr>
                <w:rFonts w:ascii="Calibri" w:hAnsi="Calibri" w:cs="Calibri"/>
                <w:b/>
                <w:bCs/>
                <w:color w:val="000000"/>
              </w:rPr>
              <w:t>0,975</w:t>
            </w:r>
          </w:p>
        </w:tc>
        <w:tc>
          <w:tcPr>
            <w:tcW w:w="2568" w:type="dxa"/>
            <w:vAlign w:val="center"/>
          </w:tcPr>
          <w:p w14:paraId="2D41E0F4" w14:textId="77777777" w:rsidR="006C252F" w:rsidRDefault="006C252F" w:rsidP="006C252F">
            <w:pPr>
              <w:jc w:val="center"/>
              <w:rPr>
                <w:rFonts w:ascii="Calibri" w:hAnsi="Calibri" w:cs="Calibri"/>
                <w:b/>
                <w:bCs/>
                <w:color w:val="000000"/>
              </w:rPr>
            </w:pPr>
            <w:r>
              <w:rPr>
                <w:rFonts w:ascii="Calibri" w:hAnsi="Calibri" w:cs="Calibri"/>
                <w:b/>
                <w:bCs/>
                <w:color w:val="000000"/>
              </w:rPr>
              <w:t>0,033</w:t>
            </w:r>
          </w:p>
        </w:tc>
      </w:tr>
      <w:tr w:rsidR="006C252F" w14:paraId="379E8954" w14:textId="77777777" w:rsidTr="00926E6C">
        <w:trPr>
          <w:trHeight w:val="1011"/>
        </w:trPr>
        <w:tc>
          <w:tcPr>
            <w:tcW w:w="1568" w:type="dxa"/>
            <w:tcBorders>
              <w:right w:val="single" w:sz="4" w:space="0" w:color="auto"/>
            </w:tcBorders>
            <w:vAlign w:val="center"/>
          </w:tcPr>
          <w:p w14:paraId="19CB662E" w14:textId="25B4C13D" w:rsidR="006C252F" w:rsidRPr="00066934" w:rsidRDefault="006C252F" w:rsidP="006C252F">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2B1BC2BC" w14:textId="77777777" w:rsidR="006C252F" w:rsidRDefault="006C252F" w:rsidP="006C252F">
            <w:pPr>
              <w:jc w:val="center"/>
              <w:rPr>
                <w:rFonts w:ascii="Calibri" w:hAnsi="Calibri" w:cs="Calibri"/>
                <w:b/>
                <w:bCs/>
                <w:color w:val="000000"/>
              </w:rPr>
            </w:pPr>
            <w:r>
              <w:rPr>
                <w:rFonts w:ascii="Calibri" w:hAnsi="Calibri" w:cs="Calibri"/>
                <w:b/>
                <w:bCs/>
                <w:color w:val="000000"/>
              </w:rPr>
              <w:t>0,018</w:t>
            </w:r>
          </w:p>
        </w:tc>
        <w:tc>
          <w:tcPr>
            <w:tcW w:w="1275" w:type="dxa"/>
            <w:vAlign w:val="center"/>
          </w:tcPr>
          <w:p w14:paraId="630A7FD6"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4D710E8" w14:textId="77777777" w:rsidR="006C252F" w:rsidRDefault="006C252F" w:rsidP="006C252F">
            <w:pPr>
              <w:jc w:val="center"/>
              <w:rPr>
                <w:rFonts w:ascii="Calibri" w:hAnsi="Calibri" w:cs="Calibri"/>
                <w:b/>
                <w:bCs/>
                <w:color w:val="000000"/>
              </w:rPr>
            </w:pPr>
            <w:r>
              <w:rPr>
                <w:rFonts w:ascii="Calibri" w:hAnsi="Calibri" w:cs="Calibri"/>
                <w:b/>
                <w:bCs/>
                <w:color w:val="000000"/>
              </w:rPr>
              <w:t>0,002</w:t>
            </w:r>
          </w:p>
        </w:tc>
        <w:tc>
          <w:tcPr>
            <w:tcW w:w="2499" w:type="dxa"/>
            <w:vAlign w:val="center"/>
          </w:tcPr>
          <w:p w14:paraId="69B057CA" w14:textId="77777777" w:rsidR="006C252F" w:rsidRDefault="006C252F" w:rsidP="006C252F">
            <w:pPr>
              <w:jc w:val="center"/>
              <w:rPr>
                <w:rFonts w:ascii="Calibri" w:hAnsi="Calibri" w:cs="Calibri"/>
                <w:b/>
                <w:bCs/>
                <w:color w:val="000000"/>
              </w:rPr>
            </w:pPr>
            <w:r>
              <w:rPr>
                <w:rFonts w:ascii="Calibri" w:hAnsi="Calibri" w:cs="Calibri"/>
                <w:b/>
                <w:bCs/>
                <w:color w:val="000000"/>
              </w:rPr>
              <w:t>0,003</w:t>
            </w:r>
          </w:p>
        </w:tc>
        <w:tc>
          <w:tcPr>
            <w:tcW w:w="1187" w:type="dxa"/>
            <w:vAlign w:val="center"/>
          </w:tcPr>
          <w:p w14:paraId="2D24D379" w14:textId="77777777" w:rsidR="006C252F" w:rsidRDefault="006C252F" w:rsidP="006C252F">
            <w:pPr>
              <w:jc w:val="center"/>
              <w:rPr>
                <w:rFonts w:ascii="Calibri" w:hAnsi="Calibri" w:cs="Calibri"/>
                <w:b/>
                <w:bCs/>
                <w:color w:val="000000"/>
              </w:rPr>
            </w:pPr>
            <w:r>
              <w:rPr>
                <w:rFonts w:ascii="Calibri" w:hAnsi="Calibri" w:cs="Calibri"/>
                <w:b/>
                <w:bCs/>
                <w:color w:val="000000"/>
              </w:rPr>
              <w:t>1,007</w:t>
            </w:r>
          </w:p>
        </w:tc>
        <w:tc>
          <w:tcPr>
            <w:tcW w:w="1275" w:type="dxa"/>
            <w:vAlign w:val="center"/>
          </w:tcPr>
          <w:p w14:paraId="78D1A2CB" w14:textId="77777777" w:rsidR="006C252F" w:rsidRDefault="006C252F" w:rsidP="006C252F">
            <w:pPr>
              <w:jc w:val="center"/>
              <w:rPr>
                <w:rFonts w:ascii="Calibri" w:hAnsi="Calibri" w:cs="Calibri"/>
                <w:b/>
                <w:bCs/>
                <w:color w:val="000000"/>
              </w:rPr>
            </w:pPr>
            <w:r>
              <w:rPr>
                <w:rFonts w:ascii="Calibri" w:hAnsi="Calibri" w:cs="Calibri"/>
                <w:b/>
                <w:bCs/>
                <w:color w:val="000000"/>
              </w:rPr>
              <w:t>0,874</w:t>
            </w:r>
          </w:p>
        </w:tc>
        <w:tc>
          <w:tcPr>
            <w:tcW w:w="1276" w:type="dxa"/>
            <w:vAlign w:val="center"/>
          </w:tcPr>
          <w:p w14:paraId="1D5F3DC9" w14:textId="77777777" w:rsidR="006C252F" w:rsidRDefault="006C252F" w:rsidP="006C252F">
            <w:pPr>
              <w:jc w:val="center"/>
              <w:rPr>
                <w:rFonts w:ascii="Calibri" w:hAnsi="Calibri" w:cs="Calibri"/>
                <w:b/>
                <w:bCs/>
                <w:color w:val="000000"/>
              </w:rPr>
            </w:pPr>
            <w:r>
              <w:rPr>
                <w:rFonts w:ascii="Calibri" w:hAnsi="Calibri" w:cs="Calibri"/>
                <w:b/>
                <w:bCs/>
                <w:color w:val="000000"/>
              </w:rPr>
              <w:t>0,975</w:t>
            </w:r>
          </w:p>
        </w:tc>
        <w:tc>
          <w:tcPr>
            <w:tcW w:w="2568" w:type="dxa"/>
            <w:vAlign w:val="center"/>
          </w:tcPr>
          <w:p w14:paraId="69D1FB31" w14:textId="77777777" w:rsidR="006C252F" w:rsidRDefault="006C252F" w:rsidP="006C252F">
            <w:pPr>
              <w:jc w:val="center"/>
              <w:rPr>
                <w:rFonts w:ascii="Calibri" w:hAnsi="Calibri" w:cs="Calibri"/>
                <w:b/>
                <w:bCs/>
                <w:color w:val="000000"/>
              </w:rPr>
            </w:pPr>
            <w:r>
              <w:rPr>
                <w:rFonts w:ascii="Calibri" w:hAnsi="Calibri" w:cs="Calibri"/>
                <w:b/>
                <w:bCs/>
                <w:color w:val="000000"/>
              </w:rPr>
              <w:t>0,033</w:t>
            </w:r>
          </w:p>
        </w:tc>
      </w:tr>
    </w:tbl>
    <w:p w14:paraId="58071F06" w14:textId="77777777" w:rsidR="00424BA6" w:rsidRDefault="00424BA6"/>
    <w:p w14:paraId="243E1C46"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174032"/>
    <w:rsid w:val="002B5E99"/>
    <w:rsid w:val="002D59E7"/>
    <w:rsid w:val="003F16A0"/>
    <w:rsid w:val="00424BA6"/>
    <w:rsid w:val="00487804"/>
    <w:rsid w:val="00503D5F"/>
    <w:rsid w:val="006C252F"/>
    <w:rsid w:val="007B1BB5"/>
    <w:rsid w:val="00926E6C"/>
    <w:rsid w:val="009F44A1"/>
    <w:rsid w:val="00A546D1"/>
    <w:rsid w:val="00A5777D"/>
    <w:rsid w:val="00B44578"/>
    <w:rsid w:val="00E667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01F5"/>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9410">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664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D</cp:lastModifiedBy>
  <cp:revision>10</cp:revision>
  <dcterms:created xsi:type="dcterms:W3CDTF">2021-03-15T10:27:00Z</dcterms:created>
  <dcterms:modified xsi:type="dcterms:W3CDTF">2021-08-03T12:17:00Z</dcterms:modified>
</cp:coreProperties>
</file>