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2236" w14:textId="77777777" w:rsidR="000D6D93" w:rsidRDefault="00B0677A">
      <w:pPr>
        <w:spacing w:line="276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</w:t>
      </w:r>
    </w:p>
    <w:tbl>
      <w:tblPr>
        <w:tblW w:w="932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2"/>
        <w:gridCol w:w="1552"/>
        <w:gridCol w:w="1552"/>
        <w:gridCol w:w="1552"/>
        <w:gridCol w:w="1552"/>
        <w:gridCol w:w="1566"/>
      </w:tblGrid>
      <w:tr w:rsidR="000D6D93" w14:paraId="5F667F81" w14:textId="77777777">
        <w:trPr>
          <w:trHeight w:val="259"/>
        </w:trPr>
        <w:tc>
          <w:tcPr>
            <w:tcW w:w="9326" w:type="dxa"/>
            <w:gridSpan w:val="6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F4350D" w14:textId="77777777" w:rsidR="000D6D93" w:rsidRDefault="00B0677A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Table 1.</w:t>
            </w:r>
          </w:p>
          <w:p w14:paraId="1CA41FD9" w14:textId="77777777" w:rsidR="000D6D93" w:rsidRDefault="00B0677A">
            <w:pPr>
              <w:spacing w:after="0" w:line="276" w:lineRule="auto"/>
              <w:jc w:val="both"/>
            </w:pP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Proportion de p-valeurs supérieures à .05 (β) en fonction de la taille des échantillons (n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j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 et de la différence entre les moyennes de chaque population (µ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).</w:t>
            </w:r>
          </w:p>
        </w:tc>
      </w:tr>
      <w:tr w:rsidR="000D6D93" w14:paraId="5251E792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365020" w14:textId="77777777" w:rsidR="000D6D93" w:rsidRDefault="000D6D93">
            <w:pPr>
              <w:spacing w:after="0" w:line="276" w:lineRule="auto"/>
              <w:jc w:val="center"/>
            </w:pPr>
          </w:p>
        </w:tc>
        <w:tc>
          <w:tcPr>
            <w:tcW w:w="7774" w:type="dxa"/>
            <w:gridSpan w:val="5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0ACDAC8" w14:textId="77777777" w:rsidR="000D6D93" w:rsidRDefault="00B0677A">
            <w:pPr>
              <w:spacing w:after="0" w:line="276" w:lineRule="auto"/>
              <w:jc w:val="center"/>
            </w:pPr>
            <w:r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Différence de moyennes dans la population (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)</w:t>
            </w:r>
          </w:p>
        </w:tc>
      </w:tr>
      <w:tr w:rsidR="000D6D93" w14:paraId="52EB0094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2DBFBB" w14:textId="77777777" w:rsidR="000D6D93" w:rsidRDefault="00B0677A">
            <w:pPr>
              <w:spacing w:after="0" w:line="276" w:lineRule="auto"/>
            </w:pPr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  <w:t>n</w:t>
            </w:r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vertAlign w:val="subscript"/>
                <w:lang w:eastAsia="fr-BE"/>
              </w:rPr>
              <w:t>j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212DCC" w14:textId="77777777" w:rsidR="000D6D93" w:rsidRDefault="00B0677A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.1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4E69BD0" w14:textId="25F88438" w:rsidR="000D6D93" w:rsidRDefault="00B0677A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F70642">
              <w:rPr>
                <w:rFonts w:ascii="Times New Roman" w:eastAsia="Times New Roman" w:hAnsi="Times New Roman"/>
                <w:color w:val="000000"/>
                <w:lang w:eastAsia="fr-BE"/>
              </w:rPr>
              <w:t>2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F456F4" w14:textId="5B544C1F" w:rsidR="000D6D93" w:rsidRDefault="00B0677A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.</w:t>
            </w:r>
            <w:r w:rsidR="00F7064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3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1B880B1" w14:textId="2EC263EC" w:rsidR="000D6D93" w:rsidRDefault="00B0677A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F70642">
              <w:rPr>
                <w:rFonts w:ascii="Times New Roman" w:eastAsia="Times New Roman" w:hAnsi="Times New Roman"/>
                <w:color w:val="000000"/>
                <w:lang w:eastAsia="fr-BE"/>
              </w:rPr>
              <w:t>4</w:t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E2DED07" w14:textId="35B6668E" w:rsidR="000D6D93" w:rsidRDefault="00B0677A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F70642">
              <w:rPr>
                <w:rFonts w:ascii="Times New Roman" w:eastAsia="Times New Roman" w:hAnsi="Times New Roman"/>
                <w:color w:val="000000"/>
                <w:lang w:eastAsia="fr-BE"/>
              </w:rPr>
              <w:t>5</w:t>
            </w:r>
          </w:p>
        </w:tc>
      </w:tr>
      <w:tr w:rsidR="00D37B19" w14:paraId="40012D37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C822235" w14:textId="77777777" w:rsidR="00D37B19" w:rsidRDefault="00D37B19" w:rsidP="00D37B19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100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7670912" w14:textId="62C2F772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0.893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D3CBC2" w14:textId="2D51F518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0.710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3CB19D" w14:textId="40C9A313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0.438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76893C" w14:textId="1AC348C9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0.196</w:t>
            </w:r>
          </w:p>
        </w:tc>
        <w:tc>
          <w:tcPr>
            <w:tcW w:w="1566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7B9B4A" w14:textId="411874FA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0.060</w:t>
            </w:r>
          </w:p>
        </w:tc>
      </w:tr>
      <w:tr w:rsidR="00D37B19" w14:paraId="0E14A6BA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306DD3" w14:textId="77777777" w:rsidR="00D37B19" w:rsidRDefault="00D37B19" w:rsidP="00D37B19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200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F1FF22" w14:textId="26EE2E0E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0.830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2D5A022" w14:textId="60D8F0E8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0.485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6CF798" w14:textId="556F5238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0.151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7634161" w14:textId="0C32B644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0.021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D02B29" w14:textId="262C333B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</w:tr>
      <w:tr w:rsidR="00D37B19" w14:paraId="07A730AE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94CF773" w14:textId="77777777" w:rsidR="00D37B19" w:rsidRDefault="00D37B19" w:rsidP="00D37B19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300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BDD45D" w14:textId="4DDF520A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0.766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88C89B" w14:textId="406D01A6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0.313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84AD76" w14:textId="6056B0DF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0.045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BFF68D2" w14:textId="4CEC22AD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0.002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654224" w14:textId="07979DD7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D37B19" w14:paraId="7394B09F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4032F45" w14:textId="77777777" w:rsidR="00D37B19" w:rsidRDefault="00D37B19" w:rsidP="00D37B19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400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393C69" w14:textId="79CD5222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0.707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3CF79E3" w14:textId="03245472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0.194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983C91D" w14:textId="5454CE5C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0.012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C73A98" w14:textId="2FF30B27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1FC9FD" w14:textId="7E81AA90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D37B19" w14:paraId="756063EA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A48A911" w14:textId="77777777" w:rsidR="00D37B19" w:rsidRDefault="00D37B19" w:rsidP="00D37B19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500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8ABAD5" w14:textId="42A85646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0.647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52E4610" w14:textId="2FB27A6C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0.116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428EA1" w14:textId="0042A3CC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0.003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66A6E1" w14:textId="7C43BFC5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41CF142" w14:textId="5E274F8D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D37B19" w14:paraId="15565BB3" w14:textId="77777777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E5FA47" w14:textId="77777777" w:rsidR="00D37B19" w:rsidRDefault="00D37B19" w:rsidP="00D37B19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600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ABF296B" w14:textId="305AF62C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0.589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A4CD7B" w14:textId="7CFD43F8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0.067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6BB8D5" w14:textId="062391B6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A9E925A" w14:textId="695459E2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6171C4" w14:textId="4AFD22D1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D37B19" w14:paraId="3ED38816" w14:textId="77777777">
        <w:trPr>
          <w:trHeight w:val="259"/>
        </w:trPr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D08A04B" w14:textId="77777777" w:rsidR="00D37B19" w:rsidRDefault="00D37B19" w:rsidP="00D37B19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700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EFA34EA" w14:textId="3909187A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0.536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FCCBC6B" w14:textId="7A61530A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0.038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650C52" w14:textId="297A217D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B966927" w14:textId="7E05C8E7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44CBBF4" w14:textId="7D73D474" w:rsidR="00D37B19" w:rsidRDefault="00D37B19" w:rsidP="00D37B19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0D6D93" w14:paraId="4BB2C550" w14:textId="77777777">
        <w:trPr>
          <w:trHeight w:val="259"/>
        </w:trPr>
        <w:tc>
          <w:tcPr>
            <w:tcW w:w="9326" w:type="dxa"/>
            <w:gridSpan w:val="6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41884FD" w14:textId="52D775BC" w:rsidR="000D6D93" w:rsidRDefault="00B0677A">
            <w:pPr>
              <w:spacing w:after="0" w:line="276" w:lineRule="auto"/>
              <w:jc w:val="both"/>
            </w:pP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Note.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Pour chaque scénario, les deux échantillons sont toujours de même taille (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n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="001A2F50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 xml:space="preserve"> </w:t>
            </w:r>
            <w:r w:rsidR="001A2F50" w:rsidRPr="001A2F50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= n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et sont extraits de populations se distribuant normalement et ayant la même variance 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(σ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>). La moyenne de la première population (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>) vaut systématiquement 0, et celle de la deuxième population (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varie de sorte à obtenir la différence de moyenne 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désirée. Par ailleurs, 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σ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vaut systématiquement 1, si bien que la différence de moyenne brute est égale au 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δ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de Cohen.</w:t>
            </w:r>
          </w:p>
        </w:tc>
      </w:tr>
    </w:tbl>
    <w:p w14:paraId="24485B04" w14:textId="77777777" w:rsidR="000D6D93" w:rsidRDefault="000D6D93">
      <w:pPr>
        <w:jc w:val="center"/>
        <w:rPr>
          <w:rFonts w:ascii="Times New Roman" w:hAnsi="Times New Roman"/>
        </w:rPr>
      </w:pPr>
    </w:p>
    <w:p w14:paraId="06D870D6" w14:textId="77777777" w:rsidR="000D6D93" w:rsidRDefault="000D6D93">
      <w:pPr>
        <w:jc w:val="center"/>
        <w:rPr>
          <w:rFonts w:ascii="Times New Roman" w:hAnsi="Times New Roman"/>
        </w:rPr>
      </w:pPr>
    </w:p>
    <w:sectPr w:rsidR="000D6D93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22322" w14:textId="77777777" w:rsidR="009D07B3" w:rsidRDefault="009D07B3">
      <w:pPr>
        <w:spacing w:after="0"/>
      </w:pPr>
      <w:r>
        <w:separator/>
      </w:r>
    </w:p>
  </w:endnote>
  <w:endnote w:type="continuationSeparator" w:id="0">
    <w:p w14:paraId="0A54BD17" w14:textId="77777777" w:rsidR="009D07B3" w:rsidRDefault="009D07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01EC8" w14:textId="77777777" w:rsidR="009D07B3" w:rsidRDefault="009D07B3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D8021A8" w14:textId="77777777" w:rsidR="009D07B3" w:rsidRDefault="009D07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93"/>
    <w:rsid w:val="000D6D93"/>
    <w:rsid w:val="001A1B8F"/>
    <w:rsid w:val="001A2F50"/>
    <w:rsid w:val="006178AE"/>
    <w:rsid w:val="009D07B3"/>
    <w:rsid w:val="00B0677A"/>
    <w:rsid w:val="00C36C89"/>
    <w:rsid w:val="00D263C2"/>
    <w:rsid w:val="00D37B19"/>
    <w:rsid w:val="00D879C9"/>
    <w:rsid w:val="00F7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4644"/>
  <w15:docId w15:val="{87D1844A-68BB-4D14-8E55-B4E5302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BE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</w:style>
  <w:style w:type="character" w:customStyle="1" w:styleId="Textedelespacerserv">
    <w:name w:val="Texte de l'espace réservé"/>
    <w:basedOn w:val="Policepardfau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8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</dc:creator>
  <dc:description/>
  <cp:lastModifiedBy>Marie D</cp:lastModifiedBy>
  <cp:revision>6</cp:revision>
  <dcterms:created xsi:type="dcterms:W3CDTF">2021-06-28T10:07:00Z</dcterms:created>
  <dcterms:modified xsi:type="dcterms:W3CDTF">2021-06-28T16:38:00Z</dcterms:modified>
</cp:coreProperties>
</file>