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C649" w14:textId="6FFE390A" w:rsidR="0038778E" w:rsidRDefault="00EB5675" w:rsidP="00A97192">
      <w:pPr>
        <w:pStyle w:val="Titre1"/>
        <w:rPr>
          <w:lang w:val="fr-FR"/>
        </w:rPr>
      </w:pPr>
      <w:r>
        <w:rPr>
          <w:lang w:val="fr-FR"/>
        </w:rPr>
        <w:t>Modifs à faire : chp 2 (APA)</w:t>
      </w:r>
    </w:p>
    <w:p w14:paraId="43D32E5D" w14:textId="39BD33D7" w:rsidR="00291ED1" w:rsidRDefault="00291ED1" w:rsidP="00291ED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p</w:t>
      </w:r>
      <w:r w:rsidRPr="00291ED1">
        <w:rPr>
          <w:b/>
          <w:bCs/>
          <w:lang w:val="en-US"/>
        </w:rPr>
        <w:t>.10</w:t>
      </w:r>
      <w:r>
        <w:rPr>
          <w:lang w:val="en-US"/>
        </w:rPr>
        <w:t xml:space="preserve">: </w:t>
      </w:r>
      <w:r w:rsidRPr="00291ED1">
        <w:rPr>
          <w:lang w:val="en-US"/>
        </w:rPr>
        <w:t>(i.e. tests that do not require assumptions about the</w:t>
      </w:r>
      <w:r>
        <w:rPr>
          <w:lang w:val="en-US"/>
        </w:rPr>
        <w:t xml:space="preserve"> </w:t>
      </w:r>
      <w:r w:rsidRPr="00291ED1">
        <w:rPr>
          <w:lang w:val="en-US"/>
        </w:rPr>
        <w:t>population parameters</w:t>
      </w:r>
      <w:r w:rsidRPr="00291ED1">
        <w:rPr>
          <w:strike/>
          <w:lang w:val="en-US"/>
        </w:rPr>
        <w:t>,</w:t>
      </w:r>
      <w:r w:rsidRPr="00291ED1">
        <w:rPr>
          <w:b/>
          <w:bCs/>
          <w:color w:val="FF0000"/>
          <w:lang w:val="en-US"/>
        </w:rPr>
        <w:t>;</w:t>
      </w:r>
      <w:r w:rsidRPr="00291ED1">
        <w:rPr>
          <w:lang w:val="en-US"/>
        </w:rPr>
        <w:t xml:space="preserve"> Sheskin, 2003)</w:t>
      </w:r>
    </w:p>
    <w:p w14:paraId="2A7A8970" w14:textId="21B1C970" w:rsidR="006E5DF8" w:rsidRDefault="006E5DF8" w:rsidP="00291ED1">
      <w:pPr>
        <w:pStyle w:val="Paragraphedeliste"/>
        <w:numPr>
          <w:ilvl w:val="0"/>
          <w:numId w:val="1"/>
        </w:numPr>
        <w:rPr>
          <w:lang w:val="en-US"/>
        </w:rPr>
      </w:pPr>
      <w:r w:rsidRPr="006E5DF8">
        <w:rPr>
          <w:b/>
          <w:bCs/>
          <w:lang w:val="en-US"/>
        </w:rPr>
        <w:t>p.11</w:t>
      </w:r>
      <w:r>
        <w:rPr>
          <w:lang w:val="en-US"/>
        </w:rPr>
        <w:t xml:space="preserve">: </w:t>
      </w:r>
      <w:r w:rsidRPr="006E5DF8">
        <w:rPr>
          <w:lang w:val="en-US"/>
        </w:rPr>
        <w:t>Alternatives exist, known as the “modern robust statistics” (Wilcox</w:t>
      </w:r>
      <w:r>
        <w:rPr>
          <w:lang w:val="en-US"/>
        </w:rPr>
        <w:t xml:space="preserve"> </w:t>
      </w:r>
      <w:r w:rsidRPr="006E5DF8">
        <w:rPr>
          <w:b/>
          <w:bCs/>
          <w:color w:val="FF0000"/>
          <w:lang w:val="en-US"/>
        </w:rPr>
        <w:t>et al.</w:t>
      </w:r>
      <w:r w:rsidRPr="006E5DF8">
        <w:rPr>
          <w:lang w:val="en-US"/>
        </w:rPr>
        <w:t xml:space="preserve">, </w:t>
      </w:r>
      <w:r w:rsidRPr="006E5DF8">
        <w:rPr>
          <w:strike/>
          <w:lang w:val="en-US"/>
        </w:rPr>
        <w:t xml:space="preserve">Granger, &amp; Clark, </w:t>
      </w:r>
      <w:r w:rsidRPr="006E5DF8">
        <w:rPr>
          <w:lang w:val="en-US"/>
        </w:rPr>
        <w:t>2013).</w:t>
      </w:r>
    </w:p>
    <w:p w14:paraId="28B00765" w14:textId="4069E684" w:rsidR="006E5DF8" w:rsidRPr="006E5DF8" w:rsidRDefault="006E5DF8" w:rsidP="006E5DF8">
      <w:pPr>
        <w:pStyle w:val="Paragraphedeliste"/>
        <w:numPr>
          <w:ilvl w:val="0"/>
          <w:numId w:val="1"/>
        </w:numPr>
        <w:rPr>
          <w:lang w:val="en-US"/>
        </w:rPr>
      </w:pPr>
      <w:r w:rsidRPr="006E5DF8">
        <w:rPr>
          <w:b/>
          <w:bCs/>
          <w:lang w:val="en-US"/>
        </w:rPr>
        <w:t>p.11</w:t>
      </w:r>
      <w:r w:rsidRPr="006E5DF8">
        <w:rPr>
          <w:lang w:val="en-US"/>
        </w:rPr>
        <w:t xml:space="preserve">: </w:t>
      </w:r>
      <w:r w:rsidRPr="006E5DF8">
        <w:rPr>
          <w:lang w:val="en-US"/>
        </w:rPr>
        <w:t>(j = 1,2</w:t>
      </w:r>
      <w:r w:rsidRPr="006E5DF8">
        <w:rPr>
          <w:strike/>
          <w:lang w:val="en-US"/>
        </w:rPr>
        <w:t>,</w:t>
      </w:r>
      <w:r w:rsidRPr="006E5DF8">
        <w:rPr>
          <w:b/>
          <w:bCs/>
          <w:color w:val="FF0000"/>
          <w:lang w:val="en-US"/>
        </w:rPr>
        <w:t>;</w:t>
      </w:r>
      <w:r>
        <w:rPr>
          <w:lang w:val="en-US"/>
        </w:rPr>
        <w:t xml:space="preserve"> </w:t>
      </w:r>
      <w:r w:rsidRPr="006E5DF8">
        <w:rPr>
          <w:lang w:val="en-US"/>
        </w:rPr>
        <w:t>Carroll &amp; Schneider, 1985)</w:t>
      </w:r>
    </w:p>
    <w:p w14:paraId="487D4040" w14:textId="4A449349" w:rsidR="00EB5675" w:rsidRDefault="00EB5675" w:rsidP="00291ED1">
      <w:pPr>
        <w:pStyle w:val="Paragraphedeliste"/>
        <w:numPr>
          <w:ilvl w:val="0"/>
          <w:numId w:val="1"/>
        </w:numPr>
        <w:rPr>
          <w:lang w:val="en-US"/>
        </w:rPr>
      </w:pPr>
      <w:r w:rsidRPr="00291ED1">
        <w:rPr>
          <w:b/>
          <w:bCs/>
          <w:lang w:val="en-US"/>
        </w:rPr>
        <w:t>p.</w:t>
      </w:r>
      <w:r w:rsidR="00291ED1" w:rsidRPr="00291ED1">
        <w:rPr>
          <w:b/>
          <w:bCs/>
          <w:lang w:val="en-US"/>
        </w:rPr>
        <w:t>12</w:t>
      </w:r>
      <w:r w:rsidRPr="00291ED1">
        <w:rPr>
          <w:lang w:val="en-US"/>
        </w:rPr>
        <w:t xml:space="preserve"> : </w:t>
      </w:r>
      <w:r w:rsidR="00291ED1" w:rsidRPr="00291ED1">
        <w:rPr>
          <w:lang w:val="en-US"/>
        </w:rPr>
        <w:t>(because the probability of choosing Welch’s t-test is very high;</w:t>
      </w:r>
      <w:r w:rsidR="00291ED1" w:rsidRPr="00291ED1">
        <w:rPr>
          <w:lang w:val="en-US"/>
        </w:rPr>
        <w:t xml:space="preserve"> </w:t>
      </w:r>
      <w:r w:rsidR="00291ED1" w:rsidRPr="00291ED1">
        <w:rPr>
          <w:lang w:val="en-US"/>
        </w:rPr>
        <w:t>see Rasch</w:t>
      </w:r>
      <w:r w:rsidR="00291ED1" w:rsidRPr="00291ED1">
        <w:rPr>
          <w:lang w:val="en-US"/>
        </w:rPr>
        <w:t xml:space="preserve"> </w:t>
      </w:r>
      <w:r w:rsidR="00291ED1" w:rsidRPr="00291ED1">
        <w:rPr>
          <w:b/>
          <w:bCs/>
          <w:color w:val="FF0000"/>
          <w:lang w:val="en-US"/>
        </w:rPr>
        <w:t>et al.</w:t>
      </w:r>
      <w:r w:rsidR="00291ED1" w:rsidRPr="00291ED1">
        <w:rPr>
          <w:lang w:val="en-US"/>
        </w:rPr>
        <w:t>,</w:t>
      </w:r>
      <w:r w:rsidR="00291ED1" w:rsidRPr="00291ED1">
        <w:rPr>
          <w:strike/>
          <w:lang w:val="en-US"/>
        </w:rPr>
        <w:t xml:space="preserve"> Kubinger, &amp; Moder</w:t>
      </w:r>
      <w:r w:rsidR="00291ED1" w:rsidRPr="00291ED1">
        <w:rPr>
          <w:strike/>
          <w:lang w:val="en-US"/>
        </w:rPr>
        <w:t>,</w:t>
      </w:r>
      <w:r w:rsidR="00291ED1" w:rsidRPr="00291ED1">
        <w:rPr>
          <w:lang w:val="en-US"/>
        </w:rPr>
        <w:t xml:space="preserve"> </w:t>
      </w:r>
      <w:r w:rsidR="00291ED1" w:rsidRPr="00291ED1">
        <w:rPr>
          <w:lang w:val="en-US"/>
        </w:rPr>
        <w:t>2011)</w:t>
      </w:r>
    </w:p>
    <w:p w14:paraId="38EBD484" w14:textId="1BC05DC9" w:rsidR="00291ED1" w:rsidRDefault="007F76ED" w:rsidP="00291ED1">
      <w:pPr>
        <w:pStyle w:val="Paragraphedeliste"/>
        <w:numPr>
          <w:ilvl w:val="0"/>
          <w:numId w:val="1"/>
        </w:numPr>
        <w:rPr>
          <w:lang w:val="en-US"/>
        </w:rPr>
      </w:pPr>
      <w:r w:rsidRPr="007F76ED">
        <w:rPr>
          <w:b/>
          <w:bCs/>
          <w:lang w:val="en-US"/>
        </w:rPr>
        <w:t>p.14</w:t>
      </w:r>
      <w:r>
        <w:rPr>
          <w:lang w:val="en-US"/>
        </w:rPr>
        <w:t xml:space="preserve">: </w:t>
      </w:r>
      <w:r w:rsidRPr="007F76ED">
        <w:rPr>
          <w:lang w:val="en-US"/>
        </w:rPr>
        <w:t>when assumptions are violated (Hoekstra</w:t>
      </w:r>
      <w:r>
        <w:rPr>
          <w:lang w:val="en-US"/>
        </w:rPr>
        <w:t xml:space="preserve"> </w:t>
      </w:r>
      <w:r w:rsidRPr="007F76ED">
        <w:rPr>
          <w:b/>
          <w:bCs/>
          <w:color w:val="FF0000"/>
          <w:lang w:val="en-US"/>
        </w:rPr>
        <w:t>et al.</w:t>
      </w:r>
      <w:r w:rsidRPr="007F76ED">
        <w:rPr>
          <w:lang w:val="en-US"/>
        </w:rPr>
        <w:t xml:space="preserve">, </w:t>
      </w:r>
      <w:r w:rsidRPr="007F76ED">
        <w:rPr>
          <w:strike/>
          <w:lang w:val="en-US"/>
        </w:rPr>
        <w:t xml:space="preserve">Kiers, &amp; Johnson, </w:t>
      </w:r>
      <w:r w:rsidRPr="007F76ED">
        <w:rPr>
          <w:lang w:val="en-US"/>
        </w:rPr>
        <w:t>2012)</w:t>
      </w:r>
    </w:p>
    <w:p w14:paraId="3DDABA5E" w14:textId="003089E8" w:rsidR="007F76ED" w:rsidRDefault="007F76ED" w:rsidP="00291ED1">
      <w:pPr>
        <w:pStyle w:val="Paragraphedeliste"/>
        <w:numPr>
          <w:ilvl w:val="0"/>
          <w:numId w:val="1"/>
        </w:numPr>
        <w:rPr>
          <w:lang w:val="en-US"/>
        </w:rPr>
      </w:pPr>
      <w:r w:rsidRPr="007F76ED">
        <w:rPr>
          <w:b/>
          <w:bCs/>
          <w:lang w:val="en-US"/>
        </w:rPr>
        <w:t>p.15</w:t>
      </w:r>
      <w:r>
        <w:rPr>
          <w:lang w:val="en-US"/>
        </w:rPr>
        <w:t>: “…</w:t>
      </w:r>
      <w:r w:rsidRPr="007F76ED">
        <w:rPr>
          <w:lang w:val="en-US"/>
        </w:rPr>
        <w:t>across cultures, Henrich</w:t>
      </w:r>
      <w:r>
        <w:rPr>
          <w:lang w:val="en-US"/>
        </w:rPr>
        <w:t xml:space="preserve"> </w:t>
      </w:r>
      <w:r w:rsidRPr="007F76ED">
        <w:rPr>
          <w:b/>
          <w:bCs/>
          <w:color w:val="FF0000"/>
          <w:lang w:val="en-US"/>
        </w:rPr>
        <w:t>et al.</w:t>
      </w:r>
      <w:r w:rsidRPr="007F76ED">
        <w:rPr>
          <w:strike/>
          <w:lang w:val="en-US"/>
        </w:rPr>
        <w:t>, Heine, &amp; Norenzayan</w:t>
      </w:r>
      <w:r w:rsidRPr="007F76ED">
        <w:rPr>
          <w:lang w:val="en-US"/>
        </w:rPr>
        <w:t xml:space="preserve"> (2010)</w:t>
      </w:r>
      <w:r>
        <w:rPr>
          <w:lang w:val="en-US"/>
        </w:rPr>
        <w:t>”</w:t>
      </w:r>
    </w:p>
    <w:p w14:paraId="612746B9" w14:textId="33E99998" w:rsidR="007F76ED" w:rsidRDefault="001B0A6E" w:rsidP="001B0A6E">
      <w:pPr>
        <w:pStyle w:val="Paragraphedeliste"/>
        <w:numPr>
          <w:ilvl w:val="0"/>
          <w:numId w:val="1"/>
        </w:numPr>
        <w:rPr>
          <w:lang w:val="en-US"/>
        </w:rPr>
      </w:pPr>
      <w:r w:rsidRPr="001B0A6E">
        <w:rPr>
          <w:b/>
          <w:bCs/>
          <w:lang w:val="en-US"/>
        </w:rPr>
        <w:t>p.16</w:t>
      </w:r>
      <w:r w:rsidRPr="001B0A6E">
        <w:rPr>
          <w:lang w:val="en-US"/>
        </w:rPr>
        <w:t xml:space="preserve">: </w:t>
      </w:r>
      <w:r>
        <w:rPr>
          <w:lang w:val="en-US"/>
        </w:rPr>
        <w:t>“</w:t>
      </w:r>
      <w:r w:rsidRPr="001B0A6E">
        <w:rPr>
          <w:lang w:val="en-US"/>
        </w:rPr>
        <w:t>Cowdry</w:t>
      </w:r>
      <w:r>
        <w:rPr>
          <w:lang w:val="en-US"/>
        </w:rPr>
        <w:t xml:space="preserve"> </w:t>
      </w:r>
      <w:r w:rsidRPr="001B0A6E">
        <w:rPr>
          <w:b/>
          <w:bCs/>
          <w:color w:val="FF0000"/>
          <w:lang w:val="en-US"/>
        </w:rPr>
        <w:t>et al.</w:t>
      </w:r>
      <w:r w:rsidRPr="001B0A6E">
        <w:rPr>
          <w:strike/>
          <w:lang w:val="en-US"/>
        </w:rPr>
        <w:t>, Gardner, O’Leary, Leibenluft, &amp; Rubinow</w:t>
      </w:r>
      <w:r w:rsidRPr="001B0A6E">
        <w:rPr>
          <w:lang w:val="en-US"/>
        </w:rPr>
        <w:t xml:space="preserve"> (1991)</w:t>
      </w:r>
      <w:r>
        <w:rPr>
          <w:lang w:val="en-US"/>
        </w:rPr>
        <w:t xml:space="preserve"> </w:t>
      </w:r>
      <w:r w:rsidRPr="001B0A6E">
        <w:rPr>
          <w:lang w:val="en-US"/>
        </w:rPr>
        <w:t>noted than intra-individual variability</w:t>
      </w:r>
      <w:r>
        <w:rPr>
          <w:lang w:val="en-US"/>
        </w:rPr>
        <w:t>…”</w:t>
      </w:r>
    </w:p>
    <w:p w14:paraId="23B62CC5" w14:textId="3965BD11" w:rsidR="006A68F8" w:rsidRDefault="006A68F8" w:rsidP="001B0A6E">
      <w:pPr>
        <w:pStyle w:val="Paragraphedeliste"/>
        <w:numPr>
          <w:ilvl w:val="0"/>
          <w:numId w:val="1"/>
        </w:numPr>
        <w:rPr>
          <w:lang w:val="en-US"/>
        </w:rPr>
      </w:pPr>
      <w:r w:rsidRPr="006A68F8">
        <w:rPr>
          <w:b/>
          <w:bCs/>
          <w:lang w:val="en-US"/>
        </w:rPr>
        <w:t>p.16</w:t>
      </w:r>
      <w:r>
        <w:rPr>
          <w:lang w:val="en-US"/>
        </w:rPr>
        <w:t>: “</w:t>
      </w:r>
      <w:r w:rsidRPr="006A68F8">
        <w:rPr>
          <w:lang w:val="en-US"/>
        </w:rPr>
        <w:t>when performing meta-analyses (Lakens</w:t>
      </w:r>
      <w:r>
        <w:rPr>
          <w:lang w:val="en-US"/>
        </w:rPr>
        <w:t xml:space="preserve"> </w:t>
      </w:r>
      <w:r w:rsidRPr="006A68F8">
        <w:rPr>
          <w:b/>
          <w:bCs/>
          <w:color w:val="FF0000"/>
          <w:lang w:val="en-US"/>
        </w:rPr>
        <w:t>et al.</w:t>
      </w:r>
      <w:r w:rsidRPr="006A68F8">
        <w:rPr>
          <w:lang w:val="en-US"/>
        </w:rPr>
        <w:t xml:space="preserve">, </w:t>
      </w:r>
      <w:r w:rsidRPr="006A68F8">
        <w:rPr>
          <w:strike/>
          <w:lang w:val="en-US"/>
        </w:rPr>
        <w:t xml:space="preserve">Hilgard, &amp; Staaks, </w:t>
      </w:r>
      <w:r w:rsidRPr="006A68F8">
        <w:rPr>
          <w:lang w:val="en-US"/>
        </w:rPr>
        <w:t>2016)</w:t>
      </w:r>
      <w:r>
        <w:rPr>
          <w:lang w:val="en-US"/>
        </w:rPr>
        <w:t>”</w:t>
      </w:r>
    </w:p>
    <w:p w14:paraId="0F12F4A5" w14:textId="49039AB9" w:rsidR="006A6A64" w:rsidRDefault="006A6A64" w:rsidP="006A6A64">
      <w:pPr>
        <w:pStyle w:val="Paragraphedeliste"/>
        <w:numPr>
          <w:ilvl w:val="0"/>
          <w:numId w:val="1"/>
        </w:numPr>
        <w:rPr>
          <w:lang w:val="en-US"/>
        </w:rPr>
      </w:pPr>
      <w:r w:rsidRPr="006A6A64">
        <w:rPr>
          <w:b/>
          <w:bCs/>
          <w:lang w:val="en-US"/>
        </w:rPr>
        <w:t>p.18</w:t>
      </w:r>
      <w:r>
        <w:rPr>
          <w:lang w:val="en-US"/>
        </w:rPr>
        <w:t>: “</w:t>
      </w:r>
      <w:r w:rsidRPr="006A6A64">
        <w:rPr>
          <w:lang w:val="en-US"/>
        </w:rPr>
        <w:t>are similar (Nimon, 2012; Ruxton, 2006; Wallenstein</w:t>
      </w:r>
      <w:r>
        <w:rPr>
          <w:lang w:val="en-US"/>
        </w:rPr>
        <w:t xml:space="preserve"> </w:t>
      </w:r>
      <w:r w:rsidRPr="006A6A64">
        <w:rPr>
          <w:b/>
          <w:bCs/>
          <w:color w:val="FF0000"/>
          <w:lang w:val="en-US"/>
        </w:rPr>
        <w:t>et al.</w:t>
      </w:r>
      <w:r w:rsidRPr="006A6A64">
        <w:rPr>
          <w:lang w:val="en-US"/>
        </w:rPr>
        <w:t xml:space="preserve">, </w:t>
      </w:r>
      <w:r w:rsidRPr="006A6A64">
        <w:rPr>
          <w:strike/>
          <w:lang w:val="en-US"/>
        </w:rPr>
        <w:t>Zucker,</w:t>
      </w:r>
      <w:r w:rsidRPr="006A6A64">
        <w:rPr>
          <w:strike/>
          <w:lang w:val="en-US"/>
        </w:rPr>
        <w:t xml:space="preserve"> </w:t>
      </w:r>
      <w:r w:rsidRPr="006A6A64">
        <w:rPr>
          <w:strike/>
          <w:lang w:val="en-US"/>
        </w:rPr>
        <w:t xml:space="preserve">&amp; Fleiss, </w:t>
      </w:r>
      <w:r w:rsidRPr="006A6A64">
        <w:rPr>
          <w:lang w:val="en-US"/>
        </w:rPr>
        <w:t>1980)</w:t>
      </w:r>
    </w:p>
    <w:p w14:paraId="2A538B0B" w14:textId="5E8BD5B9" w:rsidR="00A77DED" w:rsidRDefault="00A77DED" w:rsidP="00A77DED">
      <w:pPr>
        <w:pStyle w:val="Paragraphedeliste"/>
        <w:numPr>
          <w:ilvl w:val="0"/>
          <w:numId w:val="1"/>
        </w:numPr>
        <w:rPr>
          <w:lang w:val="en-US"/>
        </w:rPr>
      </w:pPr>
      <w:r w:rsidRPr="00A77DED">
        <w:rPr>
          <w:b/>
          <w:bCs/>
          <w:lang w:val="en-US"/>
        </w:rPr>
        <w:t>p18</w:t>
      </w:r>
      <w:r w:rsidRPr="00A77DED">
        <w:rPr>
          <w:lang w:val="en-US"/>
        </w:rPr>
        <w:t xml:space="preserve">: </w:t>
      </w:r>
      <w:r w:rsidRPr="00A77DED">
        <w:rPr>
          <w:lang w:val="en-US"/>
        </w:rPr>
        <w:t>Previous work by many researchers has shown that Student’s t-test performs surprisingly poorly</w:t>
      </w:r>
      <w:r w:rsidRPr="00A77DED">
        <w:rPr>
          <w:lang w:val="en-US"/>
        </w:rPr>
        <w:t xml:space="preserve"> </w:t>
      </w:r>
      <w:r w:rsidRPr="00A77DED">
        <w:rPr>
          <w:lang w:val="en-US"/>
        </w:rPr>
        <w:t>when population variances are unequal and sample sizes are unequal (Glass</w:t>
      </w:r>
      <w:r>
        <w:rPr>
          <w:lang w:val="en-US"/>
        </w:rPr>
        <w:t xml:space="preserve"> </w:t>
      </w:r>
      <w:r w:rsidRPr="00A77DED">
        <w:rPr>
          <w:b/>
          <w:bCs/>
          <w:color w:val="FF0000"/>
          <w:lang w:val="en-US"/>
        </w:rPr>
        <w:t>et al.</w:t>
      </w:r>
      <w:r w:rsidRPr="00A77DED">
        <w:rPr>
          <w:lang w:val="en-US"/>
        </w:rPr>
        <w:t xml:space="preserve">, </w:t>
      </w:r>
      <w:r w:rsidRPr="00A77DED">
        <w:rPr>
          <w:strike/>
          <w:lang w:val="en-US"/>
        </w:rPr>
        <w:t>Peckham, &amp;</w:t>
      </w:r>
      <w:r w:rsidRPr="00A77DED">
        <w:rPr>
          <w:strike/>
          <w:lang w:val="en-US"/>
        </w:rPr>
        <w:t xml:space="preserve"> </w:t>
      </w:r>
      <w:r w:rsidRPr="00A77DED">
        <w:rPr>
          <w:strike/>
          <w:lang w:val="en-US"/>
        </w:rPr>
        <w:t xml:space="preserve">Sanders, </w:t>
      </w:r>
      <w:r w:rsidRPr="00A77DED">
        <w:rPr>
          <w:lang w:val="en-US"/>
        </w:rPr>
        <w:t>1972; Overall</w:t>
      </w:r>
      <w:r>
        <w:rPr>
          <w:lang w:val="en-US"/>
        </w:rPr>
        <w:t xml:space="preserve"> </w:t>
      </w:r>
      <w:r w:rsidRPr="00A77DED">
        <w:rPr>
          <w:b/>
          <w:bCs/>
          <w:color w:val="FF0000"/>
          <w:lang w:val="en-US"/>
        </w:rPr>
        <w:t>et al.</w:t>
      </w:r>
      <w:r w:rsidRPr="00A77DED">
        <w:rPr>
          <w:lang w:val="en-US"/>
        </w:rPr>
        <w:t xml:space="preserve">, </w:t>
      </w:r>
      <w:r w:rsidRPr="00A77DED">
        <w:rPr>
          <w:strike/>
          <w:lang w:val="en-US"/>
        </w:rPr>
        <w:t xml:space="preserve">Atlas, &amp; Gibson, </w:t>
      </w:r>
      <w:r w:rsidRPr="00A77DED">
        <w:rPr>
          <w:lang w:val="en-US"/>
        </w:rPr>
        <w:t>1995; Zimmerman, 1996)</w:t>
      </w:r>
    </w:p>
    <w:p w14:paraId="359312B1" w14:textId="523CA852" w:rsidR="00260678" w:rsidRDefault="00260678" w:rsidP="00260678">
      <w:pPr>
        <w:pStyle w:val="Paragraphedeliste"/>
        <w:numPr>
          <w:ilvl w:val="0"/>
          <w:numId w:val="1"/>
        </w:numPr>
        <w:rPr>
          <w:lang w:val="en-US"/>
        </w:rPr>
      </w:pPr>
      <w:r w:rsidRPr="00260678">
        <w:rPr>
          <w:b/>
          <w:bCs/>
          <w:lang w:val="en-US"/>
        </w:rPr>
        <w:t>p.18</w:t>
      </w:r>
      <w:r>
        <w:rPr>
          <w:lang w:val="en-US"/>
        </w:rPr>
        <w:t xml:space="preserve">: </w:t>
      </w:r>
      <w:r w:rsidRPr="00260678">
        <w:rPr>
          <w:lang w:val="en-US"/>
        </w:rPr>
        <w:t>to a loss of statistical power (Banerjee</w:t>
      </w:r>
      <w:r>
        <w:rPr>
          <w:lang w:val="en-US"/>
        </w:rPr>
        <w:t xml:space="preserve"> </w:t>
      </w:r>
      <w:r w:rsidRPr="00260678">
        <w:rPr>
          <w:b/>
          <w:bCs/>
          <w:color w:val="FF0000"/>
          <w:lang w:val="en-US"/>
        </w:rPr>
        <w:t>et al.</w:t>
      </w:r>
      <w:r w:rsidRPr="00260678">
        <w:rPr>
          <w:lang w:val="en-US"/>
        </w:rPr>
        <w:t xml:space="preserve">, </w:t>
      </w:r>
      <w:r w:rsidRPr="00260678">
        <w:rPr>
          <w:strike/>
          <w:lang w:val="en-US"/>
        </w:rPr>
        <w:t>Chitnis, Jadhav,</w:t>
      </w:r>
      <w:r w:rsidRPr="00260678">
        <w:rPr>
          <w:strike/>
          <w:lang w:val="en-US"/>
        </w:rPr>
        <w:t xml:space="preserve"> </w:t>
      </w:r>
      <w:r w:rsidRPr="00260678">
        <w:rPr>
          <w:strike/>
          <w:lang w:val="en-US"/>
        </w:rPr>
        <w:t>Bhawalkar, &amp; Chaudhury,</w:t>
      </w:r>
      <w:r w:rsidRPr="00260678">
        <w:rPr>
          <w:lang w:val="en-US"/>
        </w:rPr>
        <w:t xml:space="preserve"> 2009).</w:t>
      </w:r>
      <w:r>
        <w:rPr>
          <w:lang w:val="en-US"/>
        </w:rPr>
        <w:t xml:space="preserve"> </w:t>
      </w:r>
    </w:p>
    <w:p w14:paraId="7C12366A" w14:textId="1CABF4A0" w:rsidR="005B318E" w:rsidRDefault="005B318E" w:rsidP="005B318E">
      <w:pPr>
        <w:pStyle w:val="Paragraphedeliste"/>
        <w:numPr>
          <w:ilvl w:val="0"/>
          <w:numId w:val="1"/>
        </w:numPr>
        <w:rPr>
          <w:lang w:val="en-US"/>
        </w:rPr>
      </w:pPr>
      <w:r w:rsidRPr="005B318E">
        <w:rPr>
          <w:b/>
          <w:bCs/>
          <w:lang w:val="en-US"/>
        </w:rPr>
        <w:t>P.21</w:t>
      </w:r>
      <w:r w:rsidRPr="005B318E">
        <w:rPr>
          <w:lang w:val="en-US"/>
        </w:rPr>
        <w:t xml:space="preserve">: </w:t>
      </w:r>
      <w:r w:rsidRPr="005B318E">
        <w:rPr>
          <w:lang w:val="en-US"/>
        </w:rPr>
        <w:t>a more stable Type I</w:t>
      </w:r>
      <w:r w:rsidRPr="005B318E">
        <w:rPr>
          <w:lang w:val="en-US"/>
        </w:rPr>
        <w:t xml:space="preserve"> </w:t>
      </w:r>
      <w:r w:rsidRPr="005B318E">
        <w:rPr>
          <w:lang w:val="en-US"/>
        </w:rPr>
        <w:t>error rate (see Keselman et al., 1998; Keselman</w:t>
      </w:r>
      <w:r>
        <w:rPr>
          <w:lang w:val="en-US"/>
        </w:rPr>
        <w:t xml:space="preserve"> </w:t>
      </w:r>
      <w:r w:rsidRPr="005B318E">
        <w:rPr>
          <w:b/>
          <w:bCs/>
          <w:color w:val="FF0000"/>
          <w:lang w:val="en-US"/>
        </w:rPr>
        <w:t>et al.</w:t>
      </w:r>
      <w:r w:rsidRPr="005B318E">
        <w:rPr>
          <w:lang w:val="en-US"/>
        </w:rPr>
        <w:t xml:space="preserve">, </w:t>
      </w:r>
      <w:r w:rsidRPr="005B318E">
        <w:rPr>
          <w:strike/>
          <w:lang w:val="en-US"/>
        </w:rPr>
        <w:t xml:space="preserve">Othman, Wilcox, &amp; Fradette, </w:t>
      </w:r>
      <w:r w:rsidRPr="005B318E">
        <w:rPr>
          <w:lang w:val="en-US"/>
        </w:rPr>
        <w:t xml:space="preserve">2004; Moser </w:t>
      </w:r>
      <w:r w:rsidRPr="005B318E">
        <w:rPr>
          <w:color w:val="FF0000"/>
          <w:lang w:val="en-US"/>
        </w:rPr>
        <w:t>$\</w:t>
      </w:r>
      <w:r w:rsidRPr="005B318E">
        <w:rPr>
          <w:color w:val="FF0000"/>
          <w:lang w:val="en-US"/>
        </w:rPr>
        <w:t>&amp;</w:t>
      </w:r>
      <w:r w:rsidRPr="005B318E">
        <w:rPr>
          <w:color w:val="FF0000"/>
          <w:lang w:val="en-US"/>
        </w:rPr>
        <w:t>$</w:t>
      </w:r>
      <w:r>
        <w:rPr>
          <w:lang w:val="en-US"/>
        </w:rPr>
        <w:t xml:space="preserve"> </w:t>
      </w:r>
      <w:r w:rsidRPr="005B318E">
        <w:rPr>
          <w:lang w:val="en-US"/>
        </w:rPr>
        <w:t>Stevens, 1992; Zimmerman, 2004)</w:t>
      </w:r>
    </w:p>
    <w:p w14:paraId="0BD46EAD" w14:textId="019DAC6C" w:rsidR="00A97192" w:rsidRDefault="00A97192" w:rsidP="00A97192">
      <w:pPr>
        <w:rPr>
          <w:lang w:val="en-US"/>
        </w:rPr>
      </w:pPr>
    </w:p>
    <w:p w14:paraId="3D2E527C" w14:textId="06D260E7" w:rsidR="00A97192" w:rsidRDefault="00A97192" w:rsidP="00A97192">
      <w:pPr>
        <w:pStyle w:val="Titre1"/>
        <w:rPr>
          <w:lang w:val="fr-FR"/>
        </w:rPr>
      </w:pPr>
      <w:r>
        <w:rPr>
          <w:lang w:val="fr-FR"/>
        </w:rPr>
        <w:t xml:space="preserve">Modifs à faire : chp </w:t>
      </w:r>
      <w:r>
        <w:rPr>
          <w:lang w:val="fr-FR"/>
        </w:rPr>
        <w:t>3</w:t>
      </w:r>
      <w:r>
        <w:rPr>
          <w:lang w:val="fr-FR"/>
        </w:rPr>
        <w:t xml:space="preserve"> (APA)</w:t>
      </w:r>
    </w:p>
    <w:p w14:paraId="18EC52B9" w14:textId="77777777" w:rsidR="00A97192" w:rsidRPr="00A97192" w:rsidRDefault="00A97192" w:rsidP="00A97192">
      <w:pPr>
        <w:rPr>
          <w:lang w:val="fr-FR"/>
        </w:rPr>
      </w:pPr>
    </w:p>
    <w:p w14:paraId="582B1625" w14:textId="77777777" w:rsidR="00EB5675" w:rsidRPr="00A97192" w:rsidRDefault="00EB5675"/>
    <w:sectPr w:rsidR="00EB5675" w:rsidRPr="00A97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F06AD"/>
    <w:multiLevelType w:val="hybridMultilevel"/>
    <w:tmpl w:val="9D703992"/>
    <w:lvl w:ilvl="0" w:tplc="9F4C9834">
      <w:start w:val="16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75"/>
    <w:rsid w:val="001B0A6E"/>
    <w:rsid w:val="00260678"/>
    <w:rsid w:val="00291ED1"/>
    <w:rsid w:val="0038778E"/>
    <w:rsid w:val="005B318E"/>
    <w:rsid w:val="006A68F8"/>
    <w:rsid w:val="006A6A64"/>
    <w:rsid w:val="006E5DF8"/>
    <w:rsid w:val="00766066"/>
    <w:rsid w:val="007F76ED"/>
    <w:rsid w:val="00A77DED"/>
    <w:rsid w:val="00A97192"/>
    <w:rsid w:val="00C81132"/>
    <w:rsid w:val="00EB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6D17"/>
  <w15:chartTrackingRefBased/>
  <w15:docId w15:val="{E5DB2087-EC15-4BCE-BCD6-AFD9081A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7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1ED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97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Delacre</dc:creator>
  <cp:keywords/>
  <dc:description/>
  <cp:lastModifiedBy>Marie Delacre</cp:lastModifiedBy>
  <cp:revision>7</cp:revision>
  <dcterms:created xsi:type="dcterms:W3CDTF">2021-09-27T09:22:00Z</dcterms:created>
  <dcterms:modified xsi:type="dcterms:W3CDTF">2021-09-27T10:38:00Z</dcterms:modified>
</cp:coreProperties>
</file>