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1A86F440" w:rsidR="00E166A1" w:rsidRPr="00CF449C" w:rsidRDefault="00CF449C" w:rsidP="00CF449C">
      <w:pPr>
        <w:pStyle w:val="Titre1"/>
        <w:spacing w:before="0" w:after="240"/>
        <w:jc w:val="center"/>
        <w:rPr>
          <w:b/>
          <w:bCs/>
        </w:rPr>
      </w:pPr>
      <w:r w:rsidRPr="00CF449C">
        <w:rPr>
          <w:b/>
          <w:bCs/>
        </w:rPr>
        <w:t>Anticipation de questions pour ma thèse</w:t>
      </w:r>
    </w:p>
    <w:p w14:paraId="3241C1B0" w14:textId="33C40B51" w:rsidR="00256C19" w:rsidRDefault="00256C19" w:rsidP="00256C19">
      <w:pPr>
        <w:pStyle w:val="Titre2"/>
        <w:numPr>
          <w:ilvl w:val="0"/>
          <w:numId w:val="1"/>
        </w:numPr>
      </w:pPr>
      <w:r>
        <w:t>Tailles d’effets non standardisées : réflexion</w:t>
      </w:r>
      <w:r w:rsidR="00A90301">
        <w:t xml:space="preserve"> (résumé de l’article de Pek &amp; Flora)</w:t>
      </w:r>
    </w:p>
    <w:p w14:paraId="747E9833" w14:textId="77777777" w:rsidR="000814BC" w:rsidRDefault="000814BC" w:rsidP="00256C19"/>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On calcule le log de ces deux moyennes, après winsorization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Student Assessment reading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(Gignac &amp; Szodorai, 2016, cités par Pek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457C8D5C"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r>
        <w:t>Bootstrapping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randomization test » (</w:t>
      </w:r>
      <w:r w:rsidR="00F25699">
        <w:t xml:space="preserve">livre de </w:t>
      </w:r>
      <w:r>
        <w:t>Edgington, 1980) </w:t>
      </w:r>
    </w:p>
    <w:p w14:paraId="469B4560" w14:textId="77777777" w:rsidR="00256C19" w:rsidRPr="00256C19" w:rsidRDefault="00256C19" w:rsidP="00256C19"/>
    <w:p w14:paraId="78E55CB4" w14:textId="77777777" w:rsidR="00DC3B26" w:rsidRDefault="00DC3B26">
      <w:pPr>
        <w:rPr>
          <w:rFonts w:asciiTheme="majorHAnsi" w:eastAsiaTheme="majorEastAsia" w:hAnsiTheme="majorHAnsi" w:cstheme="majorBidi"/>
          <w:color w:val="2F5496" w:themeColor="accent1" w:themeShade="BF"/>
          <w:sz w:val="26"/>
          <w:szCs w:val="26"/>
        </w:rPr>
      </w:pPr>
      <w:r>
        <w:br w:type="page"/>
      </w:r>
    </w:p>
    <w:p w14:paraId="625F1A0A" w14:textId="681E9920" w:rsidR="00CF449C" w:rsidRDefault="00256C19" w:rsidP="00F6496E">
      <w:pPr>
        <w:pStyle w:val="Titre2"/>
        <w:numPr>
          <w:ilvl w:val="0"/>
          <w:numId w:val="1"/>
        </w:numPr>
      </w:pPr>
      <w:r>
        <w:lastRenderedPageBreak/>
        <w:t>Quid du bayésien ? essayer de trouver une réponse-type au cas où (cf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795BB947" w14:textId="509C054C" w:rsidR="00CF449C" w:rsidRDefault="00256C19" w:rsidP="00406EB6">
      <w:pPr>
        <w:pStyle w:val="Titre2"/>
        <w:numPr>
          <w:ilvl w:val="0"/>
          <w:numId w:val="1"/>
        </w:numPr>
        <w:spacing w:after="240"/>
      </w:pPr>
      <w:r w:rsidRPr="00256C19">
        <w:t>Lien test de Welch et régr</w:t>
      </w:r>
      <w:r>
        <w:t>ession</w:t>
      </w:r>
    </w:p>
    <w:p w14:paraId="25123897" w14:textId="3718C78A" w:rsidR="0025603D" w:rsidRDefault="00E24D10" w:rsidP="0025603D">
      <w:pPr>
        <w:rPr>
          <w:rStyle w:val="Lienhypertexte"/>
          <w:lang w:val="en-US"/>
        </w:rPr>
      </w:pPr>
      <w:hyperlink r:id="rId8"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r w:rsidRPr="00406EB6">
        <w:rPr>
          <w:rStyle w:val="Lienhypertexte"/>
          <w:color w:val="000000" w:themeColor="text1"/>
          <w:u w:val="none"/>
          <w:lang w:val="en-US"/>
        </w:rPr>
        <w:t>Welch_modelelineaire.R</w:t>
      </w:r>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Gr1 &lt;- rnorm(n1)</w:t>
      </w:r>
    </w:p>
    <w:p w14:paraId="267383A3" w14:textId="77777777" w:rsidR="00921C63" w:rsidRPr="00921C63" w:rsidRDefault="00921C63" w:rsidP="00921C63">
      <w:pPr>
        <w:shd w:val="clear" w:color="auto" w:fill="E7E6E6" w:themeFill="background2"/>
        <w:spacing w:after="0"/>
        <w:rPr>
          <w:lang w:val="en-US"/>
        </w:rPr>
      </w:pPr>
      <w:r w:rsidRPr="00921C63">
        <w:rPr>
          <w:lang w:val="en-US"/>
        </w:rPr>
        <w:t>Gr2 &lt;- rnorm(n2)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plot(y~x)</w:t>
      </w:r>
    </w:p>
    <w:p w14:paraId="66D5F81A" w14:textId="77777777" w:rsidR="00921C63" w:rsidRPr="00921C63" w:rsidRDefault="00921C63" w:rsidP="00921C63">
      <w:pPr>
        <w:shd w:val="clear" w:color="auto" w:fill="E7E6E6" w:themeFill="background2"/>
        <w:spacing w:after="0"/>
      </w:pPr>
      <w:r w:rsidRPr="00921C63">
        <w:t>means &lt;- tapply(y, x, mean) # Moyenne par groupe</w:t>
      </w:r>
    </w:p>
    <w:p w14:paraId="399BEA3E" w14:textId="77777777" w:rsidR="00921C63" w:rsidRPr="00921C63" w:rsidRDefault="00921C63" w:rsidP="00921C63">
      <w:pPr>
        <w:shd w:val="clear" w:color="auto" w:fill="E7E6E6" w:themeFill="background2"/>
        <w:spacing w:after="0"/>
      </w:pPr>
      <w:r w:rsidRPr="00921C63">
        <w:t>m0 &lt;- means[1]</w:t>
      </w:r>
    </w:p>
    <w:p w14:paraId="0D349B4F" w14:textId="3636D2F5" w:rsidR="00921C63" w:rsidRPr="00921C63" w:rsidRDefault="00921C63" w:rsidP="00921C63">
      <w:pPr>
        <w:shd w:val="clear" w:color="auto" w:fill="E7E6E6" w:themeFill="background2"/>
        <w:spacing w:after="0"/>
      </w:pPr>
      <w:r w:rsidRPr="00921C63">
        <w:t>m1 &lt;- means[2]</w:t>
      </w:r>
    </w:p>
    <w:p w14:paraId="0DF9F549" w14:textId="77777777" w:rsidR="00921C63" w:rsidRDefault="00921C63" w:rsidP="00921C63">
      <w:pPr>
        <w:spacing w:after="0"/>
      </w:pPr>
    </w:p>
    <w:p w14:paraId="016EAD23" w14:textId="7047CFC0" w:rsidR="00147D62" w:rsidRDefault="008B6075" w:rsidP="00147D62">
      <w:r>
        <w:t xml:space="preserve">… si j’utilise des dummy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lastRenderedPageBreak/>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(a) avec le dummy coding</w:t>
      </w:r>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r w:rsidRPr="00921C63">
        <w:rPr>
          <w:lang w:val="en-US"/>
        </w:rPr>
        <w:t xml:space="preserve">regr&lt;-summary(lm(y~x)) </w:t>
      </w:r>
    </w:p>
    <w:p w14:paraId="3E1E31A7" w14:textId="77777777" w:rsidR="00921C63" w:rsidRDefault="00921C63" w:rsidP="00921C63">
      <w:pPr>
        <w:shd w:val="clear" w:color="auto" w:fill="D0CECE" w:themeFill="background2" w:themeFillShade="E6"/>
        <w:spacing w:after="0"/>
      </w:pPr>
      <w:r>
        <w:t>round(regr$coefficients[1],5)==round(m0,5)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round(regr$coefficient[2],5)==round(m1-m0,5) # b1 = pente = delta_y/delta_x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n’a changé, la pente est identique à celle obtenue avec le dummy coding.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0BC0CF9D" w14:textId="77777777" w:rsidR="00921C63" w:rsidRDefault="00921C63" w:rsidP="00921C63">
      <w:pPr>
        <w:shd w:val="clear" w:color="auto" w:fill="D0CECE" w:themeFill="background2" w:themeFillShade="E6"/>
        <w:spacing w:after="0"/>
      </w:pPr>
      <w:r>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r w:rsidRPr="00921C63">
        <w:rPr>
          <w:lang w:val="en-US"/>
        </w:rPr>
        <w:t>regr&lt;-summary(lm(y~x))</w:t>
      </w:r>
    </w:p>
    <w:p w14:paraId="1CAAA802" w14:textId="77777777" w:rsidR="00921C63" w:rsidRDefault="00921C63" w:rsidP="00921C63">
      <w:pPr>
        <w:shd w:val="clear" w:color="auto" w:fill="D0CECE" w:themeFill="background2" w:themeFillShade="E6"/>
        <w:spacing w:after="0"/>
      </w:pPr>
      <w:r>
        <w:t xml:space="preserve">round(regr$coefficients[1],5)==round((m0+m1)/2,5)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round(regr$coefficient[2],5)==round(m1-m0,5) # b1 = pente = delta_y/delta_x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lastRenderedPageBreak/>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xml:space="preserve">, en passant par le menu « gls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0"/>
      <w:r w:rsidRPr="002B0CA3">
        <w:t>Cependant</w:t>
      </w:r>
      <w:r>
        <w:t xml:space="preserve">, le test de Welch se base sur l’approximation Satterwaithe pour estimer les degrés de liberté, et ce n’est pas le cas du package gls. Pour cette raison, on obtient des degrés de liberté différents avec les deux méthodes (et donc forcément des p-valeurs aussi différentes). </w:t>
      </w:r>
      <w:commentRangeEnd w:id="0"/>
      <w:r w:rsidR="00DC3B26">
        <w:rPr>
          <w:rStyle w:val="Marquedecommentaire"/>
        </w:rPr>
        <w:commentReference w:id="0"/>
      </w:r>
    </w:p>
    <w:p w14:paraId="15831BAA" w14:textId="13CCF1D9" w:rsidR="00EF5532" w:rsidRDefault="00EF5532">
      <w:r w:rsidRPr="00EF5532">
        <w:rPr>
          <w:b/>
          <w:bCs/>
          <w:u w:val="single"/>
        </w:rPr>
        <w:t>Dans Jamovi</w:t>
      </w:r>
      <w:r>
        <w:t xml:space="preserve">, </w:t>
      </w:r>
      <w:r w:rsidR="003401BD">
        <w:t>en téléchargeant le package gamlj,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Essayer de trouver un exemple d’une étude. Eventuellement calculer le d de Cohen (le classique) obtenu sur cette étude et le comparer à la valeur qu’on aurait obtenu avec le d non poolé… pour montrer que ça peut enraîner de grandes différences.</w:t>
      </w:r>
      <w:r w:rsidR="006F2739">
        <w:rPr>
          <w:b/>
          <w:bCs/>
          <w:color w:val="FF0000"/>
        </w:rPr>
        <w:t xml:space="preserve"> </w:t>
      </w:r>
      <w:r w:rsidR="00215841">
        <w:rPr>
          <w:b/>
          <w:bCs/>
          <w:color w:val="FF0000"/>
        </w:rPr>
        <w:t>Jf,</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xml:space="preserve"> : ils ont étudié des produits alimentaires trouvés dans des commerces à Manhattan qui se déclaraient « produits sain » ou « produits de régime » (= produits contenant les mots « lite » « low-calorie », « reduced-calorie », « diet », »low-fat », « no-fat », ou « health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t>La VD de l’étude est l’écart entre les calories annoncées et le vrai nombre de calories, exprimé en % :</w:t>
      </w:r>
    </w:p>
    <w:p w14:paraId="459208F7" w14:textId="77777777" w:rsidR="00354B72" w:rsidRDefault="00E24D10"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test-retest de .9992 (donc super fiable apparemment).</w:t>
      </w:r>
    </w:p>
    <w:p w14:paraId="4D2AC65A" w14:textId="77777777" w:rsidR="00354B72" w:rsidRPr="00664AB6" w:rsidRDefault="00354B72" w:rsidP="00354B72">
      <w:pPr>
        <w:jc w:val="both"/>
      </w:pPr>
      <w:r w:rsidRPr="00664AB6">
        <w:lastRenderedPageBreak/>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calorimetric measurements for the duplicate sample were tested for statistically significant mean differences by using a dependent-samples two-tailed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très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r w:rsidRPr="006E7170">
        <w:rPr>
          <w:b/>
          <w:bCs/>
        </w:rPr>
        <w:t>nationally advertised food items were quite accurate</w:t>
      </w:r>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1003B23C" w14:textId="1B39179A" w:rsidR="00354B72" w:rsidRPr="00354B72" w:rsidRDefault="00354B72" w:rsidP="00354B72">
      <w:pPr>
        <w:pStyle w:val="Titre2"/>
        <w:numPr>
          <w:ilvl w:val="0"/>
          <w:numId w:val="1"/>
        </w:numPr>
      </w:pPr>
      <w:r>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lastRenderedPageBreak/>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Ex. de Pek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Relire les taille d’effet hétérogène de Judd (pour Yzerbit)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A quoi serait dûe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Vincent proposait d’envisager d’étudier la distribution des tailles d’effet plutôt que la tendance centrale via le TOST. Lire article de Hedges &amp; Vevea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Lire article de Ruscio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lastRenderedPageBreak/>
        <w:t>Le CVV = on calcule la somme d’écart de la variance de chaque groupe par rapport à la variance poolée,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poolée, le CVV diminue (au contraire, si le plus petit groupe est associé à la variance la plus loin de la variance poolée,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Box (1954) prétendait que le ratio de variances dépassait rarement 3 (or, un ratio de 3 correspond à un SDR de 1.73). Ruschio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heavy tailed.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77777777" w:rsidR="000D101E" w:rsidRPr="00505D4F"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p>
    <w:p w14:paraId="11359E8F" w14:textId="77777777" w:rsidR="000D101E" w:rsidRPr="00A018DE" w:rsidRDefault="000D101E" w:rsidP="000D101E">
      <w:pPr>
        <w:spacing w:after="0"/>
        <w:jc w:val="both"/>
        <w:rPr>
          <w:color w:val="000000" w:themeColor="text1"/>
        </w:rPr>
      </w:pPr>
      <w:r>
        <w:rPr>
          <w:color w:val="000000" w:themeColor="text1"/>
        </w:rPr>
        <w:t xml:space="preserve"> </w:t>
      </w:r>
    </w:p>
    <w:p w14:paraId="1C975D21" w14:textId="737B36D7" w:rsidR="000D101E" w:rsidRPr="000D101E" w:rsidRDefault="000D101E" w:rsidP="000D101E">
      <w:pPr>
        <w:pStyle w:val="Titre2"/>
        <w:numPr>
          <w:ilvl w:val="0"/>
          <w:numId w:val="1"/>
        </w:numPr>
      </w:pPr>
      <w:r>
        <w:lastRenderedPageBreak/>
        <w:t>A revoir dans la thèse avant la défense (pour être capable de le ré-expliquer)</w:t>
      </w:r>
    </w:p>
    <w:p w14:paraId="648DEADC" w14:textId="77777777" w:rsidR="000D101E" w:rsidRPr="000D101E" w:rsidRDefault="000D101E" w:rsidP="000D101E"/>
    <w:p w14:paraId="0466F3CD" w14:textId="65911CED" w:rsidR="00384A22" w:rsidRPr="007C2FA8" w:rsidRDefault="00384A22" w:rsidP="00384A22">
      <w:pPr>
        <w:pStyle w:val="Titre3"/>
        <w:rPr>
          <w:color w:val="FF0000"/>
        </w:rPr>
      </w:pPr>
      <w:r w:rsidRPr="007C2FA8">
        <w:rPr>
          <w:color w:val="FF0000"/>
        </w:rPr>
        <w:t>Article 2 : qu’est-ce que la variance winsorizée ? pour pouvoir un peu mieux critiquer le test de Yuen et éventuellement expliquer pourquoi il est moins bon quand les distributions sont symétriques</w:t>
      </w:r>
    </w:p>
    <w:p w14:paraId="0B0FA357" w14:textId="71FA0204" w:rsidR="00783BAC" w:rsidRPr="007C2FA8" w:rsidRDefault="00783BAC" w:rsidP="00783BAC">
      <w:pPr>
        <w:rPr>
          <w:color w:val="FF0000"/>
        </w:rPr>
      </w:pPr>
    </w:p>
    <w:p w14:paraId="1F2C4340" w14:textId="739BABC4" w:rsidR="00783BAC" w:rsidRPr="007C2FA8" w:rsidRDefault="00783BAC" w:rsidP="00783BAC">
      <w:pPr>
        <w:jc w:val="both"/>
        <w:rPr>
          <w:color w:val="FF0000"/>
        </w:rPr>
      </w:pPr>
      <w:r w:rsidRPr="007C2FA8">
        <w:rPr>
          <w:color w:val="FF0000"/>
        </w:rPr>
        <w:t>Pour supprimer l’effet des valeurs extrêmes, toutes les valeurs qui dépassent un certain quantile sont remplacées par la valeur d’un autre quantile.</w:t>
      </w:r>
    </w:p>
    <w:p w14:paraId="36197078" w14:textId="77198C03" w:rsidR="00783BAC" w:rsidRPr="007C2FA8" w:rsidRDefault="00783BAC" w:rsidP="00783BAC">
      <w:pPr>
        <w:jc w:val="both"/>
        <w:rPr>
          <w:color w:val="FF0000"/>
        </w:rPr>
      </w:pPr>
      <w:r w:rsidRPr="007C2FA8">
        <w:rPr>
          <w:color w:val="FF0000"/>
        </w:rPr>
        <w:t>Ex. : 90% winsorized variance : les 5% des valeurs les plus faibles et les plus élevées sont remplacées respectivement par les valeurs du 5</w:t>
      </w:r>
      <w:r w:rsidRPr="007C2FA8">
        <w:rPr>
          <w:color w:val="FF0000"/>
          <w:vertAlign w:val="superscript"/>
        </w:rPr>
        <w:t>ème</w:t>
      </w:r>
      <w:r w:rsidRPr="007C2FA8">
        <w:rPr>
          <w:color w:val="FF0000"/>
        </w:rPr>
        <w:t xml:space="preserve"> et du 9</w:t>
      </w:r>
      <w:r w:rsidRPr="007C2FA8">
        <w:rPr>
          <w:color w:val="FF0000"/>
          <w:vertAlign w:val="superscript"/>
        </w:rPr>
        <w:t>ème</w:t>
      </w:r>
      <w:r w:rsidRPr="007C2FA8">
        <w:rPr>
          <w:color w:val="FF0000"/>
        </w:rPr>
        <w:t xml:space="preserve"> percentile. Ensuite, on applique la formule classique de la variance.</w:t>
      </w:r>
    </w:p>
    <w:p w14:paraId="66B81BBE" w14:textId="155260F5" w:rsidR="003357FB" w:rsidRDefault="00D66AE5" w:rsidP="00D66AE5">
      <w:pPr>
        <w:pStyle w:val="Titre3"/>
      </w:pPr>
      <w:r>
        <w:t>Explication rapide de l’IC autour des tailles d’effet standardisées (lien avec le paramètre de non-centralité, bref l’annexe de la thèse à ce sujet).</w:t>
      </w:r>
    </w:p>
    <w:p w14:paraId="595BDE6C" w14:textId="4618D2C7" w:rsidR="00FE6259" w:rsidRDefault="00FE6259" w:rsidP="00FE6259"/>
    <w:p w14:paraId="5F5B2F6C" w14:textId="29544CA7" w:rsidR="00DE52B2" w:rsidRDefault="00DE52B2" w:rsidP="00DE52B2">
      <w:pPr>
        <w:pStyle w:val="Titre3"/>
      </w:pPr>
      <w:commentRangeStart w:id="1"/>
      <w:r>
        <w:t>Chapitre sur le test d’équivalence : comment j’ai créé la figure 28 (p.96</w:t>
      </w:r>
      <w:r w:rsidR="007C2FA8">
        <w:t>, partie relative à l’analyse de puissance</w:t>
      </w:r>
      <w:r>
        <w:t>)</w:t>
      </w:r>
      <w:commentRangeEnd w:id="1"/>
      <w:r w:rsidR="009821AD">
        <w:rPr>
          <w:rStyle w:val="Marquedecommentaire"/>
          <w:rFonts w:asciiTheme="minorHAnsi" w:eastAsiaTheme="minorHAnsi" w:hAnsiTheme="minorHAnsi" w:cstheme="minorBidi"/>
          <w:color w:val="auto"/>
        </w:rPr>
        <w:commentReference w:id="1"/>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(sensitivity analyses)</w:t>
      </w:r>
      <w:r>
        <w:t xml:space="preserve"> on est capable de déterminer la plus petite taille d’effet standardisée (mesure </w:t>
      </w:r>
      <w:r w:rsidRPr="00484658">
        <w:rPr>
          <w:i/>
          <w:iCs/>
        </w:rPr>
        <w:t>d</w:t>
      </w:r>
      <w:r>
        <w:t>) que l’on pourrait détecter avec une puissance de 80 % ( = d</w:t>
      </w:r>
      <w:r w:rsidRPr="00484658">
        <w:rPr>
          <w:vertAlign w:val="subscript"/>
        </w:rPr>
        <w:t>min</w:t>
      </w:r>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 xml:space="preserve">ce d vaut </w:t>
      </w:r>
      <w:r w:rsidRPr="00E020B2">
        <w:rPr>
          <w:rFonts w:eastAsiaTheme="minorEastAsia"/>
          <w:i/>
          <w:iCs/>
          <w:color w:val="00B050"/>
        </w:rPr>
        <w:t>0.565</w:t>
      </w:r>
      <w:r>
        <w:rPr>
          <w:rFonts w:eastAsiaTheme="minorEastAsia"/>
          <w:i/>
          <w:iCs/>
          <w:color w:val="00B050"/>
        </w:rPr>
        <w:t>8… (illustra via R et gpower)</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6"/>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8"/>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lastRenderedPageBreak/>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r>
        <w:t xml:space="preserve">theta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theta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m:t>
            </m:r>
            <m:r>
              <w:rPr>
                <w:rFonts w:ascii="Cambria Math" w:hAnsi="Cambria Math"/>
              </w:rPr>
              <m:t>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qu’on a déterminé S</w:t>
      </w:r>
      <w:r w:rsidRPr="00484658">
        <w:rPr>
          <w:rFonts w:eastAsiaTheme="minorEastAsia"/>
          <w:vertAlign w:val="subscript"/>
        </w:rPr>
        <w:t>max</w:t>
      </w:r>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m:t>
        </m:r>
        <m:r>
          <w:rPr>
            <w:rFonts w:ascii="Cambria Math" w:hAnsi="Cambria Math"/>
          </w:rPr>
          <m:t>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m:t>
            </m:r>
            <m:r>
              <w:rPr>
                <w:rFonts w:ascii="Cambria Math" w:hAnsi="Cambria Math"/>
              </w:rPr>
              <m:t>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1.9845</w:t>
      </w:r>
      <w:r>
        <w:rPr>
          <w:rFonts w:eastAsiaTheme="minorEastAsia"/>
          <w:i/>
          <w:iCs/>
          <w:color w:val="00B050"/>
        </w:rPr>
        <w:t xml:space="preserve">… (illustra via R et gpower). </w:t>
      </w:r>
      <w:r>
        <w:rPr>
          <w:rFonts w:eastAsiaTheme="minorEastAsia"/>
          <w:i/>
          <w:iCs/>
          <w:color w:val="00B050"/>
        </w:rPr>
        <w:t>Ça</w:t>
      </w:r>
      <w:r>
        <w:rPr>
          <w:rFonts w:eastAsiaTheme="minorEastAsia"/>
          <w:i/>
          <w:iCs/>
          <w:color w:val="00B050"/>
        </w:rPr>
        <w:t xml:space="preserve"> veut dire que </w:t>
      </w:r>
      <w:r>
        <w:rPr>
          <w:rFonts w:eastAsiaTheme="minorEastAsia"/>
          <w:i/>
          <w:iCs/>
          <w:color w:val="00B050"/>
        </w:rPr>
        <w:t>chaque fois qu’on trouvera une t inférieure à cette valeur, on conclure au NRH0</w:t>
      </w:r>
      <w:r>
        <w:rPr>
          <w:rFonts w:eastAsiaTheme="minorEastAsia"/>
          <w:i/>
          <w:iCs/>
          <w:color w:val="00B050"/>
        </w:rPr>
        <w:t xml:space="preserve">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Donc une fois qu’on a t</w:t>
      </w:r>
      <w:r w:rsidRPr="00644B60">
        <w:rPr>
          <w:rFonts w:ascii="Cambria Math" w:eastAsiaTheme="minorEastAsia" w:hAnsi="Cambria Math"/>
          <w:iCs/>
          <w:vertAlign w:val="subscript"/>
        </w:rPr>
        <w:t>crit</w:t>
      </w:r>
      <w:r>
        <w:rPr>
          <w:rFonts w:ascii="Cambria Math" w:eastAsiaTheme="minorEastAsia" w:hAnsi="Cambria Math"/>
          <w:iCs/>
        </w:rPr>
        <w:t>, on peut déterminer SE</w:t>
      </w:r>
      <w:r w:rsidRPr="00644B60">
        <w:rPr>
          <w:rFonts w:ascii="Cambria Math" w:eastAsiaTheme="minorEastAsia" w:hAnsi="Cambria Math"/>
          <w:iCs/>
          <w:vertAlign w:val="subscript"/>
        </w:rPr>
        <w:t>crit</w:t>
      </w:r>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0A5E8ED1" w:rsidR="00644B60" w:rsidRPr="00384A22"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sectPr w:rsidR="00644B60" w:rsidRPr="00384A22" w:rsidSect="00CC308C">
      <w:footerReference w:type="default" r:id="rId21"/>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19T09:59:00Z" w:initials="DM">
    <w:p w14:paraId="4B75576A" w14:textId="0C13F003" w:rsidR="00DC3B26" w:rsidRDefault="00DC3B26">
      <w:pPr>
        <w:pStyle w:val="Commentaire"/>
      </w:pPr>
      <w:r>
        <w:rPr>
          <w:rStyle w:val="Marquedecommentaire"/>
        </w:rPr>
        <w:annotationRef/>
      </w:r>
      <w:r>
        <w:t>Il me semble qu’ils sont calculés sur base de la méthode du maximum likelihood</w:t>
      </w:r>
    </w:p>
  </w:comment>
  <w:comment w:id="1"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5576A"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156F" w16cex:dateUtc="2021-10-19T07:59: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5576A" w16cid:durableId="2519156F"/>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279D" w14:textId="77777777" w:rsidR="00E24D10" w:rsidRDefault="00E24D10" w:rsidP="009B43F6">
      <w:pPr>
        <w:spacing w:after="0" w:line="240" w:lineRule="auto"/>
      </w:pPr>
      <w:r>
        <w:separator/>
      </w:r>
    </w:p>
  </w:endnote>
  <w:endnote w:type="continuationSeparator" w:id="0">
    <w:p w14:paraId="5DE9E76D" w14:textId="77777777" w:rsidR="00E24D10" w:rsidRDefault="00E24D10"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F811" w14:textId="77777777" w:rsidR="00E24D10" w:rsidRDefault="00E24D10" w:rsidP="009B43F6">
      <w:pPr>
        <w:spacing w:after="0" w:line="240" w:lineRule="auto"/>
      </w:pPr>
      <w:r>
        <w:separator/>
      </w:r>
    </w:p>
  </w:footnote>
  <w:footnote w:type="continuationSeparator" w:id="0">
    <w:p w14:paraId="6E987797" w14:textId="77777777" w:rsidR="00E24D10" w:rsidRDefault="00E24D10"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7"/>
  </w:num>
  <w:num w:numId="3">
    <w:abstractNumId w:val="2"/>
  </w:num>
  <w:num w:numId="4">
    <w:abstractNumId w:val="4"/>
  </w:num>
  <w:num w:numId="5">
    <w:abstractNumId w:val="9"/>
  </w:num>
  <w:num w:numId="6">
    <w:abstractNumId w:val="5"/>
  </w:num>
  <w:num w:numId="7">
    <w:abstractNumId w:val="13"/>
  </w:num>
  <w:num w:numId="8">
    <w:abstractNumId w:val="12"/>
  </w:num>
  <w:num w:numId="9">
    <w:abstractNumId w:val="3"/>
  </w:num>
  <w:num w:numId="10">
    <w:abstractNumId w:val="8"/>
  </w:num>
  <w:num w:numId="11">
    <w:abstractNumId w:val="1"/>
  </w:num>
  <w:num w:numId="12">
    <w:abstractNumId w:val="11"/>
  </w:num>
  <w:num w:numId="13">
    <w:abstractNumId w:val="10"/>
  </w:num>
  <w:num w:numId="14">
    <w:abstractNumId w:val="6"/>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16A4F"/>
    <w:rsid w:val="00020567"/>
    <w:rsid w:val="000217F0"/>
    <w:rsid w:val="00050127"/>
    <w:rsid w:val="000814BC"/>
    <w:rsid w:val="000C4521"/>
    <w:rsid w:val="000D101E"/>
    <w:rsid w:val="000E18A0"/>
    <w:rsid w:val="0011515F"/>
    <w:rsid w:val="00131E68"/>
    <w:rsid w:val="00134B52"/>
    <w:rsid w:val="00136B3C"/>
    <w:rsid w:val="00141B41"/>
    <w:rsid w:val="001432E3"/>
    <w:rsid w:val="00146669"/>
    <w:rsid w:val="00147D62"/>
    <w:rsid w:val="00167269"/>
    <w:rsid w:val="0017152F"/>
    <w:rsid w:val="001945D0"/>
    <w:rsid w:val="00195639"/>
    <w:rsid w:val="001A6259"/>
    <w:rsid w:val="001B16F5"/>
    <w:rsid w:val="001C7176"/>
    <w:rsid w:val="00210C66"/>
    <w:rsid w:val="00215841"/>
    <w:rsid w:val="00224257"/>
    <w:rsid w:val="00242D2A"/>
    <w:rsid w:val="0025603D"/>
    <w:rsid w:val="00256C19"/>
    <w:rsid w:val="00290B7E"/>
    <w:rsid w:val="002A1613"/>
    <w:rsid w:val="002A4353"/>
    <w:rsid w:val="002B0CA3"/>
    <w:rsid w:val="002B2A3F"/>
    <w:rsid w:val="002C0B87"/>
    <w:rsid w:val="002C5899"/>
    <w:rsid w:val="002D288A"/>
    <w:rsid w:val="002D3CF0"/>
    <w:rsid w:val="002D596B"/>
    <w:rsid w:val="002E4C26"/>
    <w:rsid w:val="00323E83"/>
    <w:rsid w:val="003357FB"/>
    <w:rsid w:val="003401BD"/>
    <w:rsid w:val="00347722"/>
    <w:rsid w:val="00354B72"/>
    <w:rsid w:val="00382480"/>
    <w:rsid w:val="00384A22"/>
    <w:rsid w:val="003A2303"/>
    <w:rsid w:val="003B7877"/>
    <w:rsid w:val="003C1AC7"/>
    <w:rsid w:val="003C269F"/>
    <w:rsid w:val="003C573F"/>
    <w:rsid w:val="003E457D"/>
    <w:rsid w:val="003F5106"/>
    <w:rsid w:val="003F5B62"/>
    <w:rsid w:val="00406EB6"/>
    <w:rsid w:val="00423F2A"/>
    <w:rsid w:val="00427030"/>
    <w:rsid w:val="0045637D"/>
    <w:rsid w:val="0048004F"/>
    <w:rsid w:val="00484658"/>
    <w:rsid w:val="004B6989"/>
    <w:rsid w:val="004C1899"/>
    <w:rsid w:val="004D5F62"/>
    <w:rsid w:val="004E074D"/>
    <w:rsid w:val="004E5D34"/>
    <w:rsid w:val="00505D4F"/>
    <w:rsid w:val="00513AB6"/>
    <w:rsid w:val="00554AF3"/>
    <w:rsid w:val="005607B7"/>
    <w:rsid w:val="0056719B"/>
    <w:rsid w:val="00571935"/>
    <w:rsid w:val="00584539"/>
    <w:rsid w:val="005E3B80"/>
    <w:rsid w:val="005F32BB"/>
    <w:rsid w:val="00615076"/>
    <w:rsid w:val="00616C8C"/>
    <w:rsid w:val="0062176F"/>
    <w:rsid w:val="00640CC8"/>
    <w:rsid w:val="00644B60"/>
    <w:rsid w:val="00655769"/>
    <w:rsid w:val="00661F22"/>
    <w:rsid w:val="00664AB6"/>
    <w:rsid w:val="0067452E"/>
    <w:rsid w:val="006E7170"/>
    <w:rsid w:val="006F192C"/>
    <w:rsid w:val="006F2739"/>
    <w:rsid w:val="00712B40"/>
    <w:rsid w:val="00712C5D"/>
    <w:rsid w:val="007148F9"/>
    <w:rsid w:val="00761031"/>
    <w:rsid w:val="00783BAC"/>
    <w:rsid w:val="007C2FA8"/>
    <w:rsid w:val="007F0A0F"/>
    <w:rsid w:val="00805782"/>
    <w:rsid w:val="00824503"/>
    <w:rsid w:val="008350E3"/>
    <w:rsid w:val="00877C7B"/>
    <w:rsid w:val="008B469D"/>
    <w:rsid w:val="008B6075"/>
    <w:rsid w:val="008C5082"/>
    <w:rsid w:val="008F48FE"/>
    <w:rsid w:val="0091164B"/>
    <w:rsid w:val="0091370F"/>
    <w:rsid w:val="00921C63"/>
    <w:rsid w:val="00947F8C"/>
    <w:rsid w:val="009644B5"/>
    <w:rsid w:val="009665F6"/>
    <w:rsid w:val="009821AD"/>
    <w:rsid w:val="009905E3"/>
    <w:rsid w:val="009B43F6"/>
    <w:rsid w:val="009F0C69"/>
    <w:rsid w:val="009F718E"/>
    <w:rsid w:val="00A00573"/>
    <w:rsid w:val="00A018DE"/>
    <w:rsid w:val="00A12CA9"/>
    <w:rsid w:val="00A44683"/>
    <w:rsid w:val="00A50C41"/>
    <w:rsid w:val="00A57B8A"/>
    <w:rsid w:val="00A60254"/>
    <w:rsid w:val="00A6663E"/>
    <w:rsid w:val="00A90301"/>
    <w:rsid w:val="00A91DA2"/>
    <w:rsid w:val="00A97626"/>
    <w:rsid w:val="00AD76FD"/>
    <w:rsid w:val="00B17DD7"/>
    <w:rsid w:val="00B26F77"/>
    <w:rsid w:val="00B45277"/>
    <w:rsid w:val="00B507C9"/>
    <w:rsid w:val="00B64304"/>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449C"/>
    <w:rsid w:val="00D06F29"/>
    <w:rsid w:val="00D15E64"/>
    <w:rsid w:val="00D21199"/>
    <w:rsid w:val="00D334CF"/>
    <w:rsid w:val="00D66AE5"/>
    <w:rsid w:val="00D75379"/>
    <w:rsid w:val="00D858C4"/>
    <w:rsid w:val="00DA5A32"/>
    <w:rsid w:val="00DC3B26"/>
    <w:rsid w:val="00DD52E6"/>
    <w:rsid w:val="00DE52B2"/>
    <w:rsid w:val="00E020B2"/>
    <w:rsid w:val="00E166A1"/>
    <w:rsid w:val="00E24D10"/>
    <w:rsid w:val="00E56F2D"/>
    <w:rsid w:val="00E925B9"/>
    <w:rsid w:val="00E94E4A"/>
    <w:rsid w:val="00EC2477"/>
    <w:rsid w:val="00ED5DFB"/>
    <w:rsid w:val="00EF5532"/>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eloev.github.io/tests-as-linear/"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3826</Words>
  <Characters>21046</Characters>
  <Application>Microsoft Office Word</Application>
  <DocSecurity>0</DocSecurity>
  <Lines>175</Lines>
  <Paragraphs>49</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
      <vt:lpstr>Anticipation de questions pour ma thèse</vt:lpstr>
      <vt:lpstr>    Tailles d’effets non standardisées : réflexion (résumé de l’article de Pek &amp; Flo</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Article 2 : qu’est-ce que la variance winsorizée ? pour pouvoir un peu mieux cri</vt:lpstr>
      <vt:lpstr>        Explication rapide de l’IC autour des tailles d’effet standardisées (lien avec l</vt:lpstr>
      <vt:lpstr>        Chapitre sur le test d’équivalence : recomprendre comment j’ai créé la figure 28</vt:lpstr>
    </vt:vector>
  </TitlesOfParts>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136</cp:revision>
  <dcterms:created xsi:type="dcterms:W3CDTF">2021-10-12T07:39:00Z</dcterms:created>
  <dcterms:modified xsi:type="dcterms:W3CDTF">2021-10-19T14:19:00Z</dcterms:modified>
</cp:coreProperties>
</file>