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1A86F440"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67A8D025" w14:textId="6B448A3F" w:rsidR="00935401" w:rsidRPr="00935401" w:rsidRDefault="00935401" w:rsidP="00935401">
      <w:pPr>
        <w:pStyle w:val="Titre2"/>
        <w:numPr>
          <w:ilvl w:val="0"/>
          <w:numId w:val="1"/>
        </w:numPr>
      </w:pPr>
      <w:r>
        <w:t>Pourquoi ne pas opter pour des transformations </w:t>
      </w:r>
      <w:r>
        <w:t>plutôt que des tests robustes</w:t>
      </w:r>
      <w:r>
        <w:t>?</w:t>
      </w:r>
    </w:p>
    <w:p w14:paraId="7B117455" w14:textId="3F7881DB" w:rsidR="00935401" w:rsidRDefault="00935401" w:rsidP="00935401">
      <w:pPr>
        <w:jc w:val="both"/>
      </w:pPr>
    </w:p>
    <w:p w14:paraId="0D1A88DA" w14:textId="198D8F66" w:rsidR="00935401" w:rsidRDefault="00935401" w:rsidP="00935401">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66C2F9CB" w14:textId="040D1BF7" w:rsidR="00935401" w:rsidRDefault="00935401" w:rsidP="00935401">
      <w:pPr>
        <w:pStyle w:val="Paragraphedeliste"/>
        <w:numPr>
          <w:ilvl w:val="0"/>
          <w:numId w:val="16"/>
        </w:numPr>
        <w:jc w:val="both"/>
      </w:pPr>
      <w:r>
        <w:t xml:space="preserve">Les transformations échouent souvent à restaurer les conditions (on parle souvent de la transformation </w:t>
      </w:r>
      <w:commentRangeStart w:id="1"/>
      <w:r>
        <w:t>« log »</w:t>
      </w:r>
      <w:commentRangeEnd w:id="1"/>
      <w:r>
        <w:rPr>
          <w:rStyle w:val="Marquedecommentaire"/>
        </w:rPr>
        <w:commentReference w:id="1"/>
      </w:r>
      <w:r>
        <w:t xml:space="preserve"> pour restaurer la normale, mais ça ne marche pas toujours). </w:t>
      </w:r>
    </w:p>
    <w:p w14:paraId="05F693C6" w14:textId="4C9D6FA4" w:rsidR="005E3615" w:rsidRDefault="005E3615" w:rsidP="00935401">
      <w:pPr>
        <w:pStyle w:val="Paragraphedeliste"/>
        <w:numPr>
          <w:ilvl w:val="0"/>
          <w:numId w:val="16"/>
        </w:numPr>
        <w:jc w:val="both"/>
      </w:pPr>
      <w:r>
        <w:t xml:space="preserve">Elles ne permettent pas de traiter le problème des </w:t>
      </w:r>
      <w:proofErr w:type="spellStart"/>
      <w:r>
        <w:t>outliers</w:t>
      </w:r>
      <w:proofErr w:type="spellEnd"/>
    </w:p>
    <w:p w14:paraId="4ED0C955" w14:textId="7CB8B256" w:rsidR="005E3615" w:rsidRDefault="005E3615" w:rsidP="00935401">
      <w:pPr>
        <w:pStyle w:val="Paragraphedeliste"/>
        <w:numPr>
          <w:ilvl w:val="0"/>
          <w:numId w:val="16"/>
        </w:numPr>
        <w:jc w:val="both"/>
      </w:pPr>
      <w:r>
        <w:t>Elles peuvent faire perdre en puissance</w:t>
      </w:r>
    </w:p>
    <w:p w14:paraId="549E75B1" w14:textId="030A82E9" w:rsidR="005E3615" w:rsidRDefault="005E3615" w:rsidP="00935401">
      <w:pPr>
        <w:pStyle w:val="Paragraphedeliste"/>
        <w:numPr>
          <w:ilvl w:val="0"/>
          <w:numId w:val="16"/>
        </w:numPr>
        <w:jc w:val="both"/>
      </w:pPr>
      <w:r>
        <w:t>Parfois, ça va m</w:t>
      </w:r>
      <w:r w:rsidR="00B65B02">
        <w:t>o</w:t>
      </w:r>
      <w:r>
        <w:t>difier l’ordre des moyennes</w:t>
      </w:r>
    </w:p>
    <w:p w14:paraId="27E2F5AD" w14:textId="454CE6E2" w:rsidR="005E3615" w:rsidRDefault="005E3615" w:rsidP="00935401">
      <w:pPr>
        <w:pStyle w:val="Paragraphedeliste"/>
        <w:numPr>
          <w:ilvl w:val="0"/>
          <w:numId w:val="16"/>
        </w:numPr>
        <w:jc w:val="both"/>
      </w:pPr>
      <w:r>
        <w:t xml:space="preserve">Complique l’interprétation des résultats (on interprète des mesures transformées, plus les mesures d’ origine). </w:t>
      </w:r>
      <w:r w:rsidR="00B65B02">
        <w:t xml:space="preserve"> </w:t>
      </w: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lastRenderedPageBreak/>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469B4560" w14:textId="77777777" w:rsidR="00256C19" w:rsidRPr="00256C19" w:rsidRDefault="00256C19" w:rsidP="00256C19"/>
    <w:p w14:paraId="78E55CB4" w14:textId="77777777" w:rsidR="00DC3B26" w:rsidRDefault="00DC3B26">
      <w:pPr>
        <w:rPr>
          <w:rFonts w:asciiTheme="majorHAnsi" w:eastAsiaTheme="majorEastAsia" w:hAnsiTheme="majorHAnsi" w:cstheme="majorBidi"/>
          <w:color w:val="2F5496" w:themeColor="accent1" w:themeShade="BF"/>
          <w:sz w:val="26"/>
          <w:szCs w:val="26"/>
        </w:rPr>
      </w:pPr>
      <w:r>
        <w:br w:type="page"/>
      </w:r>
    </w:p>
    <w:p w14:paraId="625F1A0A" w14:textId="681E9920" w:rsidR="00CF449C" w:rsidRDefault="00256C19" w:rsidP="00F6496E">
      <w:pPr>
        <w:pStyle w:val="Titre2"/>
        <w:numPr>
          <w:ilvl w:val="0"/>
          <w:numId w:val="1"/>
        </w:numPr>
      </w:pPr>
      <w:r>
        <w:lastRenderedPageBreak/>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795BB947" w14:textId="509C054C" w:rsidR="00CF449C" w:rsidRDefault="00256C19" w:rsidP="00406EB6">
      <w:pPr>
        <w:pStyle w:val="Titre2"/>
        <w:numPr>
          <w:ilvl w:val="0"/>
          <w:numId w:val="1"/>
        </w:numPr>
        <w:spacing w:after="240"/>
      </w:pPr>
      <w:r w:rsidRPr="00256C19">
        <w:t>Lien test de Welch et régr</w:t>
      </w:r>
      <w:r>
        <w:t>ession</w:t>
      </w:r>
    </w:p>
    <w:p w14:paraId="25123897" w14:textId="3718C78A" w:rsidR="0025603D" w:rsidRDefault="0076473F"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lastRenderedPageBreak/>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0BC0CF9D" w14:textId="77777777" w:rsidR="00921C63" w:rsidRDefault="00921C63" w:rsidP="00921C63">
      <w:pPr>
        <w:shd w:val="clear" w:color="auto" w:fill="D0CECE" w:themeFill="background2" w:themeFillShade="E6"/>
        <w:spacing w:after="0"/>
      </w:pPr>
      <w:r>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lastRenderedPageBreak/>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2"/>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2"/>
      <w:r w:rsidR="00DC3B26">
        <w:rPr>
          <w:rStyle w:val="Marquedecommentaire"/>
        </w:rPr>
        <w:commentReference w:id="2"/>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t>La VD de l’étude est l’écart entre les calories annoncées et le vrai nombre de calories, exprimé en % :</w:t>
      </w:r>
    </w:p>
    <w:p w14:paraId="459208F7" w14:textId="77777777" w:rsidR="00354B72" w:rsidRDefault="0076473F"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lastRenderedPageBreak/>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1003B23C" w14:textId="1B39179A" w:rsidR="00354B72" w:rsidRPr="00354B72" w:rsidRDefault="00354B72" w:rsidP="00354B72">
      <w:pPr>
        <w:pStyle w:val="Titre2"/>
        <w:numPr>
          <w:ilvl w:val="0"/>
          <w:numId w:val="1"/>
        </w:numPr>
      </w:pPr>
      <w:r>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lastRenderedPageBreak/>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lastRenderedPageBreak/>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77777777" w:rsidR="000D101E" w:rsidRPr="00505D4F"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p>
    <w:p w14:paraId="11359E8F" w14:textId="77777777" w:rsidR="000D101E" w:rsidRPr="00A018DE" w:rsidRDefault="000D101E" w:rsidP="000D101E">
      <w:pPr>
        <w:spacing w:after="0"/>
        <w:jc w:val="both"/>
        <w:rPr>
          <w:color w:val="000000" w:themeColor="text1"/>
        </w:rPr>
      </w:pPr>
      <w:r>
        <w:rPr>
          <w:color w:val="000000" w:themeColor="text1"/>
        </w:rPr>
        <w:t xml:space="preserve"> </w:t>
      </w:r>
    </w:p>
    <w:p w14:paraId="1C975D21" w14:textId="737B36D7" w:rsidR="000D101E" w:rsidRPr="000D101E" w:rsidRDefault="000D101E" w:rsidP="000D101E">
      <w:pPr>
        <w:pStyle w:val="Titre2"/>
        <w:numPr>
          <w:ilvl w:val="0"/>
          <w:numId w:val="1"/>
        </w:numPr>
      </w:pPr>
      <w:r>
        <w:lastRenderedPageBreak/>
        <w:t xml:space="preserve">A revoir dans la thèse avant la défense (pour être capable de le </w:t>
      </w:r>
      <w:proofErr w:type="spellStart"/>
      <w:r>
        <w:t>ré-expliquer</w:t>
      </w:r>
      <w:proofErr w:type="spellEnd"/>
      <w:r>
        <w:t>)</w:t>
      </w:r>
    </w:p>
    <w:p w14:paraId="648DEADC" w14:textId="25CE0408" w:rsidR="000D101E" w:rsidRDefault="000D101E" w:rsidP="000D101E"/>
    <w:p w14:paraId="46934A26" w14:textId="0150E34C" w:rsidR="00EA0244" w:rsidRDefault="00EA0244" w:rsidP="00EA0244">
      <w:pPr>
        <w:pStyle w:val="Titre3"/>
      </w:pPr>
      <w:r>
        <w:t xml:space="preserve">Test de </w:t>
      </w:r>
      <w:proofErr w:type="spellStart"/>
      <w:r>
        <w:t>Yuen</w:t>
      </w:r>
      <w:proofErr w:type="spellEnd"/>
      <w:r>
        <w:t xml:space="preserve"> : l’étudier et revoir pourquoi il est moins puissant que le test t classique quand les conditions sont respectées (cf. article de Wilcox, je crois que c’est « how </w:t>
      </w:r>
      <w:proofErr w:type="spellStart"/>
      <w:r>
        <w:t>many</w:t>
      </w:r>
      <w:proofErr w:type="spellEnd"/>
      <w:r>
        <w:t xml:space="preserve"> </w:t>
      </w:r>
      <w:proofErr w:type="spellStart"/>
      <w:r>
        <w:t>discoveries</w:t>
      </w:r>
      <w:proofErr w:type="spellEnd"/>
      <w:r>
        <w:t>… »)</w:t>
      </w:r>
    </w:p>
    <w:p w14:paraId="6B7D7235" w14:textId="790ADD2A" w:rsidR="00EA0244" w:rsidRDefault="00EA0244" w:rsidP="000D101E"/>
    <w:p w14:paraId="30D3991B" w14:textId="71D52DEC" w:rsidR="00B162CF" w:rsidRPr="000D101E" w:rsidRDefault="00B162CF" w:rsidP="000D101E">
      <w:r w:rsidRPr="00B162CF">
        <w:rPr>
          <w:b/>
          <w:bCs/>
        </w:rPr>
        <w:t>Remarque</w:t>
      </w:r>
      <w:r>
        <w:t xml:space="preserve"> : pas tout à fait lié, mais d’après </w:t>
      </w:r>
      <w:proofErr w:type="spellStart"/>
      <w:r>
        <w:t>Erceg-Hurn</w:t>
      </w:r>
      <w:proofErr w:type="spellEnd"/>
      <w:r>
        <w:t xml:space="preserve"> et </w:t>
      </w:r>
      <w:proofErr w:type="spellStart"/>
      <w:r>
        <w:t>MIrosevich</w:t>
      </w:r>
      <w:proofErr w:type="spellEnd"/>
      <w:r>
        <w:t xml:space="preserve">, cette solution est préférable aux tests non paramétriques car peut être généralisée pour des designs </w:t>
      </w:r>
      <w:proofErr w:type="spellStart"/>
      <w:r>
        <w:t>puls</w:t>
      </w:r>
      <w:proofErr w:type="spellEnd"/>
      <w:r>
        <w:t xml:space="preserve"> complexes (designs factoriels par exemple)</w:t>
      </w:r>
      <w:r w:rsidR="0039650B">
        <w:t xml:space="preserve">. </w:t>
      </w:r>
      <w:r>
        <w:t xml:space="preserve"> </w:t>
      </w:r>
    </w:p>
    <w:p w14:paraId="0466F3CD" w14:textId="65911CED" w:rsidR="00384A22" w:rsidRPr="007C2FA8" w:rsidRDefault="00384A22" w:rsidP="00384A22">
      <w:pPr>
        <w:pStyle w:val="Titre3"/>
        <w:rPr>
          <w:color w:val="FF0000"/>
        </w:rPr>
      </w:pPr>
      <w:r w:rsidRPr="007C2FA8">
        <w:rPr>
          <w:color w:val="FF0000"/>
        </w:rPr>
        <w:t xml:space="preserve">Article 2 : qu’est-ce que la variance </w:t>
      </w:r>
      <w:proofErr w:type="spellStart"/>
      <w:r w:rsidRPr="007C2FA8">
        <w:rPr>
          <w:color w:val="FF0000"/>
        </w:rPr>
        <w:t>winsorizée</w:t>
      </w:r>
      <w:proofErr w:type="spellEnd"/>
      <w:r w:rsidRPr="007C2FA8">
        <w:rPr>
          <w:color w:val="FF0000"/>
        </w:rPr>
        <w:t xml:space="preserve"> ? pour pouvoir un peu mieux critiquer le test de </w:t>
      </w:r>
      <w:proofErr w:type="spellStart"/>
      <w:r w:rsidRPr="007C2FA8">
        <w:rPr>
          <w:color w:val="FF0000"/>
        </w:rPr>
        <w:t>Yuen</w:t>
      </w:r>
      <w:proofErr w:type="spellEnd"/>
      <w:r w:rsidRPr="007C2FA8">
        <w:rPr>
          <w:color w:val="FF0000"/>
        </w:rPr>
        <w:t xml:space="preserve"> et éventuellement expliquer pourquoi il est moins bon quand les distributions sont symétriques</w:t>
      </w:r>
    </w:p>
    <w:p w14:paraId="0B0FA357" w14:textId="71FA0204" w:rsidR="00783BAC" w:rsidRPr="007C2FA8" w:rsidRDefault="00783BAC" w:rsidP="00783BAC">
      <w:pPr>
        <w:rPr>
          <w:color w:val="FF0000"/>
        </w:rPr>
      </w:pPr>
    </w:p>
    <w:p w14:paraId="1F2C4340" w14:textId="739BABC4" w:rsidR="00783BAC" w:rsidRPr="007C2FA8" w:rsidRDefault="00783BAC" w:rsidP="00783BAC">
      <w:pPr>
        <w:jc w:val="both"/>
        <w:rPr>
          <w:color w:val="FF0000"/>
        </w:rPr>
      </w:pPr>
      <w:r w:rsidRPr="007C2FA8">
        <w:rPr>
          <w:color w:val="FF0000"/>
        </w:rPr>
        <w:t>Pour supprimer l’effet des valeurs extrêmes, toutes les valeurs qui dépassent un certain quantile sont remplacées par la valeur d’un autre quantile.</w:t>
      </w:r>
    </w:p>
    <w:p w14:paraId="36197078" w14:textId="77198C03" w:rsidR="00783BAC" w:rsidRPr="007C2FA8" w:rsidRDefault="00783BAC" w:rsidP="00783BAC">
      <w:pPr>
        <w:jc w:val="both"/>
        <w:rPr>
          <w:color w:val="FF0000"/>
        </w:rPr>
      </w:pPr>
      <w:r w:rsidRPr="007C2FA8">
        <w:rPr>
          <w:color w:val="FF0000"/>
        </w:rPr>
        <w:t xml:space="preserve">Ex. : 90% </w:t>
      </w:r>
      <w:proofErr w:type="spellStart"/>
      <w:r w:rsidRPr="007C2FA8">
        <w:rPr>
          <w:color w:val="FF0000"/>
        </w:rPr>
        <w:t>winsorized</w:t>
      </w:r>
      <w:proofErr w:type="spellEnd"/>
      <w:r w:rsidRPr="007C2FA8">
        <w:rPr>
          <w:color w:val="FF0000"/>
        </w:rPr>
        <w:t xml:space="preserve"> variance : les 5% des valeurs les plus faibles et les plus élevées sont remplacées respectivement par les valeurs du 5</w:t>
      </w:r>
      <w:r w:rsidRPr="007C2FA8">
        <w:rPr>
          <w:color w:val="FF0000"/>
          <w:vertAlign w:val="superscript"/>
        </w:rPr>
        <w:t>ème</w:t>
      </w:r>
      <w:r w:rsidRPr="007C2FA8">
        <w:rPr>
          <w:color w:val="FF0000"/>
        </w:rPr>
        <w:t xml:space="preserve"> et du 9</w:t>
      </w:r>
      <w:r w:rsidRPr="007C2FA8">
        <w:rPr>
          <w:color w:val="FF0000"/>
          <w:vertAlign w:val="superscript"/>
        </w:rPr>
        <w:t>ème</w:t>
      </w:r>
      <w:r w:rsidRPr="007C2FA8">
        <w:rPr>
          <w:color w:val="FF0000"/>
        </w:rPr>
        <w:t xml:space="preserve"> percentile. Ensuite, on applique la formule classique de la variance.</w:t>
      </w:r>
    </w:p>
    <w:p w14:paraId="66B81BBE" w14:textId="155260F5" w:rsidR="003357FB" w:rsidRDefault="00D66AE5" w:rsidP="00D66AE5">
      <w:pPr>
        <w:pStyle w:val="Titre3"/>
      </w:pPr>
      <w:r>
        <w:t>Explication rapide de l’IC autour des tailles d’effet standardisées (lien avec le paramètre de non-centralité, bref l’annexe de la thèse à ce sujet).</w:t>
      </w:r>
    </w:p>
    <w:p w14:paraId="595BDE6C" w14:textId="7695DF57" w:rsidR="00FE6259" w:rsidRDefault="00FE6259" w:rsidP="00FE6259"/>
    <w:p w14:paraId="7254BDCE" w14:textId="17BDE62F" w:rsidR="007566F2" w:rsidRDefault="007566F2" w:rsidP="007566F2">
      <w:pPr>
        <w:pStyle w:val="Titre3"/>
      </w:pPr>
      <w:proofErr w:type="spellStart"/>
      <w:r>
        <w:t>Micceri</w:t>
      </w:r>
      <w:proofErr w:type="spellEnd"/>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lastRenderedPageBreak/>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6"/>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8"/>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lastRenderedPageBreak/>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1"/>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22T08:21:00Z" w:initials="DM">
    <w:p w14:paraId="6F89C7AB" w14:textId="48AEF370" w:rsidR="00935401" w:rsidRDefault="00935401">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2"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6F89C7AB" w15:done="0"/>
  <w15:commentEx w15:paraId="4B75576A"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CF319" w16cex:dateUtc="2021-10-22T06:21:00Z"/>
  <w16cex:commentExtensible w16cex:durableId="2519156F" w16cex:dateUtc="2021-10-19T07:59: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6F89C7AB" w16cid:durableId="251CF319"/>
  <w16cid:commentId w16cid:paraId="4B75576A" w16cid:durableId="2519156F"/>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5125" w14:textId="77777777" w:rsidR="0076473F" w:rsidRDefault="0076473F" w:rsidP="009B43F6">
      <w:pPr>
        <w:spacing w:after="0" w:line="240" w:lineRule="auto"/>
      </w:pPr>
      <w:r>
        <w:separator/>
      </w:r>
    </w:p>
  </w:endnote>
  <w:endnote w:type="continuationSeparator" w:id="0">
    <w:p w14:paraId="49E3126E" w14:textId="77777777" w:rsidR="0076473F" w:rsidRDefault="0076473F"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B3CA" w14:textId="77777777" w:rsidR="0076473F" w:rsidRDefault="0076473F" w:rsidP="009B43F6">
      <w:pPr>
        <w:spacing w:after="0" w:line="240" w:lineRule="auto"/>
      </w:pPr>
      <w:r>
        <w:separator/>
      </w:r>
    </w:p>
  </w:footnote>
  <w:footnote w:type="continuationSeparator" w:id="0">
    <w:p w14:paraId="56CC5D04" w14:textId="77777777" w:rsidR="0076473F" w:rsidRDefault="0076473F"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 xml:space="preserve">Allison, D. B., </w:t>
      </w:r>
      <w:proofErr w:type="spellStart"/>
      <w:r w:rsidRPr="0091164B">
        <w:rPr>
          <w:lang w:val="en-US"/>
        </w:rPr>
        <w:t>Heshka</w:t>
      </w:r>
      <w:proofErr w:type="spellEnd"/>
      <w:r w:rsidRPr="0091164B">
        <w:rPr>
          <w:lang w:val="en-US"/>
        </w:rPr>
        <w:t xml:space="preserve">, S., Sepulveda, D., &amp; </w:t>
      </w:r>
      <w:proofErr w:type="spellStart"/>
      <w:r w:rsidRPr="0091164B">
        <w:rPr>
          <w:lang w:val="en-US"/>
        </w:rPr>
        <w:t>Heymsfield</w:t>
      </w:r>
      <w:proofErr w:type="spellEnd"/>
      <w:r w:rsidRPr="0091164B">
        <w:rPr>
          <w:lang w:val="en-US"/>
        </w:rPr>
        <w:t>,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w:t>
      </w:r>
      <w:proofErr w:type="spellStart"/>
      <w:r>
        <w:t>randomization</w:t>
      </w:r>
      <w:proofErr w:type="spellEnd"/>
      <w:r>
        <w:t xml:space="preserve">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1"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2"/>
  </w:num>
  <w:num w:numId="4">
    <w:abstractNumId w:val="4"/>
  </w:num>
  <w:num w:numId="5">
    <w:abstractNumId w:val="10"/>
  </w:num>
  <w:num w:numId="6">
    <w:abstractNumId w:val="5"/>
  </w:num>
  <w:num w:numId="7">
    <w:abstractNumId w:val="14"/>
  </w:num>
  <w:num w:numId="8">
    <w:abstractNumId w:val="13"/>
  </w:num>
  <w:num w:numId="9">
    <w:abstractNumId w:val="3"/>
  </w:num>
  <w:num w:numId="10">
    <w:abstractNumId w:val="9"/>
  </w:num>
  <w:num w:numId="11">
    <w:abstractNumId w:val="1"/>
  </w:num>
  <w:num w:numId="12">
    <w:abstractNumId w:val="12"/>
  </w:num>
  <w:num w:numId="13">
    <w:abstractNumId w:val="11"/>
  </w:num>
  <w:num w:numId="14">
    <w:abstractNumId w:val="6"/>
  </w:num>
  <w:num w:numId="15">
    <w:abstractNumId w:val="0"/>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16A4F"/>
    <w:rsid w:val="00020567"/>
    <w:rsid w:val="000217F0"/>
    <w:rsid w:val="00050127"/>
    <w:rsid w:val="000814BC"/>
    <w:rsid w:val="000C4521"/>
    <w:rsid w:val="000D101E"/>
    <w:rsid w:val="000E18A0"/>
    <w:rsid w:val="0011515F"/>
    <w:rsid w:val="00131E68"/>
    <w:rsid w:val="00134B52"/>
    <w:rsid w:val="00136B3C"/>
    <w:rsid w:val="00141B41"/>
    <w:rsid w:val="001432E3"/>
    <w:rsid w:val="00146669"/>
    <w:rsid w:val="00147D62"/>
    <w:rsid w:val="00167269"/>
    <w:rsid w:val="0017152F"/>
    <w:rsid w:val="001945D0"/>
    <w:rsid w:val="00195639"/>
    <w:rsid w:val="001A6259"/>
    <w:rsid w:val="001B16F5"/>
    <w:rsid w:val="001C7176"/>
    <w:rsid w:val="00210C66"/>
    <w:rsid w:val="00215841"/>
    <w:rsid w:val="00224257"/>
    <w:rsid w:val="00230AB7"/>
    <w:rsid w:val="00242D2A"/>
    <w:rsid w:val="0025603D"/>
    <w:rsid w:val="00256C19"/>
    <w:rsid w:val="00290B7E"/>
    <w:rsid w:val="002A1613"/>
    <w:rsid w:val="002A4353"/>
    <w:rsid w:val="002B0CA3"/>
    <w:rsid w:val="002B2A3F"/>
    <w:rsid w:val="002C0B87"/>
    <w:rsid w:val="002C5899"/>
    <w:rsid w:val="002D288A"/>
    <w:rsid w:val="002D3CF0"/>
    <w:rsid w:val="002D596B"/>
    <w:rsid w:val="002E4C26"/>
    <w:rsid w:val="00323E83"/>
    <w:rsid w:val="003357FB"/>
    <w:rsid w:val="003401BD"/>
    <w:rsid w:val="00347722"/>
    <w:rsid w:val="00354B72"/>
    <w:rsid w:val="00382480"/>
    <w:rsid w:val="00384A22"/>
    <w:rsid w:val="0039650B"/>
    <w:rsid w:val="003A2303"/>
    <w:rsid w:val="003B7877"/>
    <w:rsid w:val="003C1AC7"/>
    <w:rsid w:val="003C269F"/>
    <w:rsid w:val="003C573F"/>
    <w:rsid w:val="003E457D"/>
    <w:rsid w:val="003F5106"/>
    <w:rsid w:val="003F5B62"/>
    <w:rsid w:val="00406EB6"/>
    <w:rsid w:val="00423F2A"/>
    <w:rsid w:val="00427030"/>
    <w:rsid w:val="0045637D"/>
    <w:rsid w:val="0048004F"/>
    <w:rsid w:val="00484658"/>
    <w:rsid w:val="004B6989"/>
    <w:rsid w:val="004C1899"/>
    <w:rsid w:val="004D5F62"/>
    <w:rsid w:val="004E074D"/>
    <w:rsid w:val="004E5D34"/>
    <w:rsid w:val="00505D4F"/>
    <w:rsid w:val="00513AB6"/>
    <w:rsid w:val="00554AF3"/>
    <w:rsid w:val="005607B7"/>
    <w:rsid w:val="0056719B"/>
    <w:rsid w:val="00571935"/>
    <w:rsid w:val="00584539"/>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712B40"/>
    <w:rsid w:val="00712C5D"/>
    <w:rsid w:val="007148F9"/>
    <w:rsid w:val="007566F2"/>
    <w:rsid w:val="00761031"/>
    <w:rsid w:val="0076473F"/>
    <w:rsid w:val="00783BAC"/>
    <w:rsid w:val="007C2FA8"/>
    <w:rsid w:val="007F0A0F"/>
    <w:rsid w:val="00805782"/>
    <w:rsid w:val="00824503"/>
    <w:rsid w:val="008350E3"/>
    <w:rsid w:val="00877C7B"/>
    <w:rsid w:val="008B469D"/>
    <w:rsid w:val="008B6075"/>
    <w:rsid w:val="008C5082"/>
    <w:rsid w:val="008F48FE"/>
    <w:rsid w:val="0091164B"/>
    <w:rsid w:val="0091370F"/>
    <w:rsid w:val="00921C63"/>
    <w:rsid w:val="00935401"/>
    <w:rsid w:val="00947F8C"/>
    <w:rsid w:val="009644B5"/>
    <w:rsid w:val="009665F6"/>
    <w:rsid w:val="009821AD"/>
    <w:rsid w:val="009905E3"/>
    <w:rsid w:val="009B43F6"/>
    <w:rsid w:val="009F0C69"/>
    <w:rsid w:val="009F718E"/>
    <w:rsid w:val="00A00573"/>
    <w:rsid w:val="00A018DE"/>
    <w:rsid w:val="00A12CA9"/>
    <w:rsid w:val="00A44683"/>
    <w:rsid w:val="00A50C41"/>
    <w:rsid w:val="00A57B8A"/>
    <w:rsid w:val="00A60254"/>
    <w:rsid w:val="00A6663E"/>
    <w:rsid w:val="00A90301"/>
    <w:rsid w:val="00A91DA2"/>
    <w:rsid w:val="00A97626"/>
    <w:rsid w:val="00AD76FD"/>
    <w:rsid w:val="00B162CF"/>
    <w:rsid w:val="00B17DD7"/>
    <w:rsid w:val="00B26F77"/>
    <w:rsid w:val="00B45277"/>
    <w:rsid w:val="00B507C9"/>
    <w:rsid w:val="00B64304"/>
    <w:rsid w:val="00B65B02"/>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449C"/>
    <w:rsid w:val="00D06F29"/>
    <w:rsid w:val="00D15E64"/>
    <w:rsid w:val="00D21199"/>
    <w:rsid w:val="00D334CF"/>
    <w:rsid w:val="00D66AE5"/>
    <w:rsid w:val="00D75379"/>
    <w:rsid w:val="00D858C4"/>
    <w:rsid w:val="00DA5A32"/>
    <w:rsid w:val="00DC3B26"/>
    <w:rsid w:val="00DD52E6"/>
    <w:rsid w:val="00DE52B2"/>
    <w:rsid w:val="00E020B2"/>
    <w:rsid w:val="00E166A1"/>
    <w:rsid w:val="00E24D10"/>
    <w:rsid w:val="00E56F2D"/>
    <w:rsid w:val="00E925B9"/>
    <w:rsid w:val="00E94E4A"/>
    <w:rsid w:val="00EA0244"/>
    <w:rsid w:val="00EC2477"/>
    <w:rsid w:val="00ED5DFB"/>
    <w:rsid w:val="00EF5532"/>
    <w:rsid w:val="00F0572F"/>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4053</Words>
  <Characters>22294</Characters>
  <Application>Microsoft Office Word</Application>
  <DocSecurity>0</DocSecurity>
  <Lines>185</Lines>
  <Paragraphs>52</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
      <vt:lpstr>Anticipation de questions pour ma thèse</vt:lpstr>
      <vt:lpstr>    Tailles d’effets non standardisées : réflexion (résumé de l’article de Pek &amp; Flo</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Article 2 : qu’est-ce que la variance winsorizée ? pour pouvoir un peu mieux cri</vt:lpstr>
      <vt:lpstr>        Explication rapide de l’IC autour des tailles d’effet standardisées (lien avec l</vt:lpstr>
      <vt:lpstr>        Chapitre sur le test d’équivalence : recomprendre comment j’ai créé la figure 28</vt:lpstr>
    </vt:vector>
  </TitlesOfParts>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145</cp:revision>
  <dcterms:created xsi:type="dcterms:W3CDTF">2021-10-12T07:39:00Z</dcterms:created>
  <dcterms:modified xsi:type="dcterms:W3CDTF">2021-10-22T06:25:00Z</dcterms:modified>
</cp:coreProperties>
</file>