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9E709" w14:textId="05EDC3D5" w:rsidR="00E166A1" w:rsidRPr="00CF449C" w:rsidRDefault="00CF449C" w:rsidP="00CF449C">
      <w:pPr>
        <w:pStyle w:val="Titre1"/>
        <w:spacing w:before="0" w:after="240"/>
        <w:jc w:val="center"/>
        <w:rPr>
          <w:b/>
          <w:bCs/>
        </w:rPr>
      </w:pPr>
      <w:commentRangeStart w:id="0"/>
      <w:r w:rsidRPr="00CF449C">
        <w:rPr>
          <w:b/>
          <w:bCs/>
        </w:rPr>
        <w:t>Anticipation de questions pour ma thèse</w:t>
      </w:r>
      <w:commentRangeEnd w:id="0"/>
      <w:r w:rsidR="00230AB7">
        <w:rPr>
          <w:rStyle w:val="Marquedecommentaire"/>
          <w:rFonts w:asciiTheme="minorHAnsi" w:eastAsiaTheme="minorHAnsi" w:hAnsiTheme="minorHAnsi" w:cstheme="minorBidi"/>
          <w:color w:val="auto"/>
        </w:rPr>
        <w:commentReference w:id="0"/>
      </w:r>
    </w:p>
    <w:p w14:paraId="3241C1B0" w14:textId="7351FFCE" w:rsidR="00256C19" w:rsidRDefault="00256C19" w:rsidP="00256C19">
      <w:pPr>
        <w:pStyle w:val="Titre2"/>
        <w:numPr>
          <w:ilvl w:val="0"/>
          <w:numId w:val="1"/>
        </w:numPr>
      </w:pPr>
      <w:r>
        <w:t>Tailles d’effets non standardisées : réflexion</w:t>
      </w:r>
      <w:r w:rsidR="00A90301">
        <w:t xml:space="preserve"> (résumé de l’article de </w:t>
      </w:r>
      <w:proofErr w:type="spellStart"/>
      <w:r w:rsidR="00A90301">
        <w:t>Pek</w:t>
      </w:r>
      <w:proofErr w:type="spellEnd"/>
      <w:r w:rsidR="00A90301">
        <w:t xml:space="preserve"> &amp; Flora)</w:t>
      </w:r>
    </w:p>
    <w:p w14:paraId="1304CD8D" w14:textId="5FEBA8E1" w:rsidR="00A90301" w:rsidRDefault="00A90301" w:rsidP="00427030">
      <w:pPr>
        <w:pStyle w:val="Paragraphedeliste"/>
        <w:numPr>
          <w:ilvl w:val="0"/>
          <w:numId w:val="6"/>
        </w:numPr>
        <w:jc w:val="both"/>
      </w:pPr>
      <w:r>
        <w:t>Il y a des situations où les tailles d’effet non standardisées sont très pertinentes. Par exemple, quand on crée un modèle, on va souvent utiliser les paramètres du modèle estimé comme mesure de taille d’effet (ex. : la pente non standardisée d’une droite de régression).</w:t>
      </w:r>
      <w:r w:rsidR="00B83253">
        <w:t xml:space="preserve"> </w:t>
      </w:r>
    </w:p>
    <w:p w14:paraId="2DED27C2" w14:textId="27B1729A" w:rsidR="00C07308" w:rsidRPr="00ED5DFB" w:rsidRDefault="00C07308" w:rsidP="00C07308">
      <w:pPr>
        <w:ind w:firstLine="708"/>
        <w:jc w:val="both"/>
        <w:rPr>
          <w:i/>
          <w:iCs/>
        </w:rPr>
      </w:pPr>
      <w:r w:rsidRPr="00ED5DFB">
        <w:rPr>
          <w:b/>
          <w:bCs/>
          <w:i/>
          <w:iCs/>
        </w:rPr>
        <w:t>Ex</w:t>
      </w:r>
      <w:r w:rsidRPr="00ED5DFB">
        <w:rPr>
          <w:i/>
          <w:iCs/>
        </w:rPr>
        <w:t>. : le score d’IAT est souvent mesuré comme suit :</w:t>
      </w:r>
    </w:p>
    <w:p w14:paraId="5D864307" w14:textId="7729257F" w:rsidR="00C07308" w:rsidRPr="00ED5DFB" w:rsidRDefault="00C07308" w:rsidP="00C07308">
      <w:pPr>
        <w:pStyle w:val="Paragraphedeliste"/>
        <w:numPr>
          <w:ilvl w:val="0"/>
          <w:numId w:val="4"/>
        </w:numPr>
        <w:jc w:val="both"/>
        <w:rPr>
          <w:i/>
          <w:iCs/>
        </w:rPr>
      </w:pPr>
      <w:r w:rsidRPr="00ED5DFB">
        <w:rPr>
          <w:i/>
          <w:iCs/>
        </w:rPr>
        <w:t>On calcule le temps de latence moyen des items « cohérents » pour un raciste (blancs associés aux mots positifs et noirs associés aux mots négatifs), idem pour les items « incohérents » (blancs négatifs et noirs positifs).</w:t>
      </w:r>
    </w:p>
    <w:p w14:paraId="00906736" w14:textId="55AC1E09" w:rsidR="00C07308" w:rsidRPr="00ED5DFB" w:rsidRDefault="00C07308" w:rsidP="00C07308">
      <w:pPr>
        <w:pStyle w:val="Paragraphedeliste"/>
        <w:numPr>
          <w:ilvl w:val="0"/>
          <w:numId w:val="4"/>
        </w:numPr>
        <w:jc w:val="both"/>
        <w:rPr>
          <w:i/>
          <w:iCs/>
        </w:rPr>
      </w:pPr>
      <w:r w:rsidRPr="00ED5DFB">
        <w:rPr>
          <w:i/>
          <w:iCs/>
        </w:rPr>
        <w:t xml:space="preserve">On calcule le log de ces deux moyennes, après </w:t>
      </w:r>
      <w:proofErr w:type="spellStart"/>
      <w:r w:rsidRPr="00ED5DFB">
        <w:rPr>
          <w:i/>
          <w:iCs/>
        </w:rPr>
        <w:t>winsorization</w:t>
      </w:r>
      <w:proofErr w:type="spellEnd"/>
      <w:r w:rsidRPr="00ED5DFB">
        <w:rPr>
          <w:i/>
          <w:iCs/>
        </w:rPr>
        <w:t xml:space="preserve"> (= remplacement des scores extrêmes par d’autres si j’ai bien compris)</w:t>
      </w:r>
    </w:p>
    <w:p w14:paraId="14FBD383" w14:textId="0EA99205" w:rsidR="00C07308" w:rsidRPr="00ED5DFB" w:rsidRDefault="00C07308" w:rsidP="00C07308">
      <w:pPr>
        <w:pStyle w:val="Paragraphedeliste"/>
        <w:numPr>
          <w:ilvl w:val="0"/>
          <w:numId w:val="4"/>
        </w:numPr>
        <w:jc w:val="both"/>
        <w:rPr>
          <w:i/>
          <w:iCs/>
        </w:rPr>
      </w:pPr>
      <w:r w:rsidRPr="00ED5DFB">
        <w:rPr>
          <w:i/>
          <w:iCs/>
        </w:rPr>
        <w:t>On calcule la différence des deux logs</w:t>
      </w:r>
      <w:r w:rsidR="0062176F">
        <w:rPr>
          <w:i/>
          <w:iCs/>
        </w:rPr>
        <w:t xml:space="preserve"> (= log(temps moyen de latence items </w:t>
      </w:r>
      <w:r w:rsidR="0062176F" w:rsidRPr="0062176F">
        <w:rPr>
          <w:b/>
          <w:bCs/>
          <w:i/>
          <w:iCs/>
          <w:u w:val="single"/>
        </w:rPr>
        <w:t>in</w:t>
      </w:r>
      <w:r w:rsidR="0062176F">
        <w:rPr>
          <w:i/>
          <w:iCs/>
        </w:rPr>
        <w:t xml:space="preserve">compatibles) – log (temps moyen de latence des items compatibles) </w:t>
      </w:r>
      <w:r w:rsidR="0062176F" w:rsidRPr="0062176F">
        <w:rPr>
          <w:i/>
          <w:iCs/>
        </w:rPr>
        <w:sym w:font="Wingdings" w:char="F0E0"/>
      </w:r>
      <w:r w:rsidR="0062176F">
        <w:rPr>
          <w:i/>
          <w:iCs/>
        </w:rPr>
        <w:t xml:space="preserve"> plus c positif, plus ça veut dire qu’ils buggent sur les items incompatibles et donc a priori ont du mal avec les noirs.</w:t>
      </w:r>
    </w:p>
    <w:p w14:paraId="64A258FD" w14:textId="0C97FE4A" w:rsidR="0062176F" w:rsidRDefault="0062176F" w:rsidP="00C07308">
      <w:pPr>
        <w:pStyle w:val="Paragraphedeliste"/>
        <w:numPr>
          <w:ilvl w:val="0"/>
          <w:numId w:val="5"/>
        </w:numPr>
        <w:jc w:val="both"/>
        <w:rPr>
          <w:i/>
          <w:iCs/>
        </w:rPr>
      </w:pPr>
      <w:r>
        <w:rPr>
          <w:i/>
          <w:iCs/>
        </w:rPr>
        <w:t xml:space="preserve">On pourrait s’intéresser à la relation entre le score et l’IAT et le score à une échelle de racisme, et se dire par exemple que’ «quand le score à l’IAT augmente de 10 ms, </w:t>
      </w:r>
      <w:r w:rsidR="002D288A">
        <w:rPr>
          <w:i/>
          <w:iCs/>
        </w:rPr>
        <w:t xml:space="preserve">on peut prédire une augmentation du </w:t>
      </w:r>
      <w:r>
        <w:rPr>
          <w:i/>
          <w:iCs/>
        </w:rPr>
        <w:t>score sur l’échelle de racisme de 0.3 points ». La taille d’effet ici est une pente de droite de régression = mesure non standardisée.</w:t>
      </w:r>
    </w:p>
    <w:p w14:paraId="4FB1B5AC" w14:textId="4D149E4F" w:rsidR="00C07308" w:rsidRPr="00ED5DFB" w:rsidRDefault="009F0C69" w:rsidP="0062176F">
      <w:pPr>
        <w:pStyle w:val="Paragraphedeliste"/>
        <w:ind w:left="1068"/>
        <w:jc w:val="both"/>
        <w:rPr>
          <w:i/>
          <w:iCs/>
        </w:rPr>
      </w:pPr>
      <w:r>
        <w:rPr>
          <w:i/>
          <w:iCs/>
        </w:rPr>
        <w:t xml:space="preserve"> </w:t>
      </w:r>
    </w:p>
    <w:p w14:paraId="7051F3B2" w14:textId="6C466BDD" w:rsidR="00427030" w:rsidRDefault="00427030" w:rsidP="0091370F">
      <w:pPr>
        <w:pStyle w:val="Paragraphedeliste"/>
        <w:numPr>
          <w:ilvl w:val="0"/>
          <w:numId w:val="6"/>
        </w:numPr>
        <w:spacing w:after="0"/>
        <w:jc w:val="both"/>
      </w:pPr>
      <w:r>
        <w:t>On prétend souvent que les mesures standardisées sont « mieux » parce qu’on utilise en psycho des mesures « arbitraires ». Mais même ces mesures arbitraires peuvent avoir un intérêt, en termes de score brut, à condition que des experts aient trouvé un consensus</w:t>
      </w:r>
      <w:r w:rsidR="0091370F">
        <w:t xml:space="preserve">. </w:t>
      </w:r>
    </w:p>
    <w:p w14:paraId="64A4EF07" w14:textId="3CCB0B80" w:rsidR="0091370F" w:rsidRDefault="0091370F" w:rsidP="0091370F">
      <w:pPr>
        <w:spacing w:after="0"/>
        <w:jc w:val="both"/>
      </w:pPr>
    </w:p>
    <w:p w14:paraId="409356AB" w14:textId="6D2799EF" w:rsidR="0091370F" w:rsidRDefault="0091370F" w:rsidP="0091370F">
      <w:pPr>
        <w:jc w:val="both"/>
        <w:rPr>
          <w:i/>
          <w:iCs/>
        </w:rPr>
      </w:pPr>
      <w:r w:rsidRPr="0091370F">
        <w:rPr>
          <w:i/>
          <w:iCs/>
        </w:rPr>
        <w:t>Ex. : Imaginons qu’on calcule la différence de score</w:t>
      </w:r>
      <w:r w:rsidR="000E18A0">
        <w:rPr>
          <w:i/>
          <w:iCs/>
        </w:rPr>
        <w:t>s</w:t>
      </w:r>
      <w:r w:rsidRPr="0091370F">
        <w:rPr>
          <w:i/>
          <w:iCs/>
        </w:rPr>
        <w:t xml:space="preserve"> de lecture entre les filles et les garçons adolescents en utilisant les scores de lecture de PISA (Programme for International </w:t>
      </w:r>
      <w:proofErr w:type="spellStart"/>
      <w:r w:rsidRPr="0091370F">
        <w:rPr>
          <w:i/>
          <w:iCs/>
        </w:rPr>
        <w:t>Student</w:t>
      </w:r>
      <w:proofErr w:type="spellEnd"/>
      <w:r w:rsidRPr="0091370F">
        <w:rPr>
          <w:i/>
          <w:iCs/>
        </w:rPr>
        <w:t xml:space="preserve"> </w:t>
      </w:r>
      <w:proofErr w:type="spellStart"/>
      <w:r w:rsidRPr="0091370F">
        <w:rPr>
          <w:i/>
          <w:iCs/>
        </w:rPr>
        <w:t>Assessment</w:t>
      </w:r>
      <w:proofErr w:type="spellEnd"/>
      <w:r w:rsidRPr="0091370F">
        <w:rPr>
          <w:i/>
          <w:iCs/>
        </w:rPr>
        <w:t xml:space="preserve"> </w:t>
      </w:r>
      <w:proofErr w:type="spellStart"/>
      <w:r w:rsidRPr="0091370F">
        <w:rPr>
          <w:i/>
          <w:iCs/>
        </w:rPr>
        <w:t>reading</w:t>
      </w:r>
      <w:proofErr w:type="spellEnd"/>
      <w:r w:rsidRPr="0091370F">
        <w:rPr>
          <w:i/>
          <w:iCs/>
        </w:rPr>
        <w:t xml:space="preserve"> scores). Avec ce programme, on définit 5 niveau de lecture (environ 70 points entre les niveaux): Niveau 1 (335-407), Niveau 2 (408-480), Niveau 3 (481-552), Niveau 4 (553-625), Niveau 5 (&gt; 625). Imaginons qu’on trouve une différence de score de 60 points, ça veut dire qu’il y a une différence de ¾ de niveau. </w:t>
      </w:r>
      <w:r>
        <w:rPr>
          <w:i/>
          <w:iCs/>
        </w:rPr>
        <w:t>c</w:t>
      </w:r>
      <w:r w:rsidRPr="0091370F">
        <w:rPr>
          <w:i/>
          <w:iCs/>
        </w:rPr>
        <w:t>e score de 60 peut être directement comparé aux guidelines prévue pour cette échelle</w:t>
      </w:r>
      <w:r>
        <w:rPr>
          <w:i/>
          <w:iCs/>
        </w:rPr>
        <w:t>.</w:t>
      </w:r>
    </w:p>
    <w:p w14:paraId="23495279" w14:textId="0241B796" w:rsidR="005E3B80" w:rsidRDefault="005E3B80" w:rsidP="0091370F">
      <w:pPr>
        <w:jc w:val="both"/>
        <w:rPr>
          <w:i/>
          <w:iCs/>
        </w:rPr>
      </w:pPr>
      <w:r>
        <w:rPr>
          <w:i/>
          <w:iCs/>
        </w:rPr>
        <w:t>Lire exemple de l’alcool « </w:t>
      </w:r>
      <w:r w:rsidRPr="005E3B80">
        <w:rPr>
          <w:i/>
          <w:iCs/>
        </w:rPr>
        <w:t>C:\Users\mdelacre\Dropbox\Préparation défense thèse\tailles d'effet brutes\ex alcohol.pdf</w:t>
      </w:r>
      <w:r>
        <w:rPr>
          <w:i/>
          <w:iCs/>
        </w:rPr>
        <w:t> »</w:t>
      </w:r>
    </w:p>
    <w:p w14:paraId="04383850" w14:textId="25345DE3" w:rsidR="0091370F" w:rsidRPr="0091370F" w:rsidRDefault="0091370F" w:rsidP="0091370F">
      <w:pPr>
        <w:pStyle w:val="Paragraphedeliste"/>
        <w:jc w:val="both"/>
      </w:pPr>
      <w:r>
        <w:t xml:space="preserve">Au contraire, si on n’a pas de guidelines dans un contexte donné </w:t>
      </w:r>
      <w:r w:rsidR="0017152F">
        <w:t xml:space="preserve">et pour un certain groupe cible </w:t>
      </w:r>
      <w:r>
        <w:t>pour les mesures standardisées, elles sont difficiles à interpréter.</w:t>
      </w:r>
    </w:p>
    <w:p w14:paraId="0B6C6954" w14:textId="4C75A0FC" w:rsidR="0091370F" w:rsidRPr="0091370F" w:rsidRDefault="0091370F" w:rsidP="0091370F">
      <w:pPr>
        <w:jc w:val="both"/>
        <w:rPr>
          <w:i/>
          <w:iCs/>
        </w:rPr>
      </w:pPr>
      <w:r>
        <w:rPr>
          <w:i/>
          <w:iCs/>
        </w:rPr>
        <w:t xml:space="preserve">Pour reprendre notre exemple, déterminer l’écart en termes de « niveaux » sur les score brut est plus parlant que de dire, par exemple, qu’on trouve un d de Cohen de </w:t>
      </w:r>
      <w:r w:rsidRPr="0091370F">
        <w:rPr>
          <w:i/>
          <w:iCs/>
        </w:rPr>
        <w:t>1.2</w:t>
      </w:r>
      <w:r w:rsidR="0017152F">
        <w:rPr>
          <w:i/>
          <w:iCs/>
        </w:rPr>
        <w:t xml:space="preserve">, </w:t>
      </w:r>
      <w:r>
        <w:rPr>
          <w:i/>
          <w:iCs/>
        </w:rPr>
        <w:t>qu’on aura plutôt tendance à interpréter en utilisant les balises arbitraires de Cohen peu adaptées au Cohen</w:t>
      </w:r>
      <w:r w:rsidR="0017152F">
        <w:rPr>
          <w:i/>
          <w:iCs/>
        </w:rPr>
        <w:t xml:space="preserve">, parce qu’on ne dispose pas encore de guidelines précises dans ce contexte </w:t>
      </w:r>
      <w:r w:rsidR="0017152F">
        <w:t xml:space="preserve">(Gignac &amp; </w:t>
      </w:r>
      <w:proofErr w:type="spellStart"/>
      <w:r w:rsidR="0017152F">
        <w:t>Szodorai</w:t>
      </w:r>
      <w:proofErr w:type="spellEnd"/>
      <w:r w:rsidR="0017152F">
        <w:t xml:space="preserve">, 2016, cités par </w:t>
      </w:r>
      <w:proofErr w:type="spellStart"/>
      <w:r w:rsidR="0017152F">
        <w:t>Pek</w:t>
      </w:r>
      <w:proofErr w:type="spellEnd"/>
      <w:r w:rsidR="0017152F">
        <w:t xml:space="preserve"> et Flora).</w:t>
      </w:r>
    </w:p>
    <w:p w14:paraId="5484F308" w14:textId="0DE00A5A" w:rsidR="0091370F" w:rsidRDefault="00136B3C" w:rsidP="0091370F">
      <w:pPr>
        <w:jc w:val="both"/>
      </w:pPr>
      <w:r>
        <w:t>Autre exemple : di</w:t>
      </w:r>
      <w:r w:rsidR="00A97626">
        <w:t>re</w:t>
      </w:r>
      <w:r>
        <w:t xml:space="preserve"> qu’en soirée, les hommes boivent en moyenne 2 bières de plus que les femmes parle plus que de dire que le petit d de Cohen vaut 0.2.</w:t>
      </w:r>
      <w:r w:rsidR="00537F2A">
        <w:t xml:space="preserve"> Alors que pourtant, à partir de 2 verres d’alcool (0,5 grammes d’alcool</w:t>
      </w:r>
      <w:r w:rsidR="001E0E65">
        <w:t xml:space="preserve"> dans le sang</w:t>
      </w:r>
      <w:r w:rsidR="00537F2A">
        <w:t>), on considère qu’on a trop bu pour pouvoir conduire, par exemple</w:t>
      </w:r>
      <w:r w:rsidR="009D1572">
        <w:t xml:space="preserve">, donc clairement c’est une différence qui a de l’importance. </w:t>
      </w:r>
      <w:r w:rsidR="00537F2A">
        <w:t>.</w:t>
      </w:r>
    </w:p>
    <w:p w14:paraId="09CDACF9" w14:textId="77777777" w:rsidR="0045637D" w:rsidRDefault="0045637D">
      <w:r>
        <w:br w:type="page"/>
      </w:r>
    </w:p>
    <w:p w14:paraId="10FD2746" w14:textId="07CE20D1" w:rsidR="00A90301" w:rsidRDefault="00427030" w:rsidP="00427030">
      <w:pPr>
        <w:pStyle w:val="Paragraphedeliste"/>
        <w:numPr>
          <w:ilvl w:val="0"/>
          <w:numId w:val="6"/>
        </w:numPr>
        <w:jc w:val="both"/>
      </w:pPr>
      <w:r>
        <w:lastRenderedPageBreak/>
        <w:t xml:space="preserve">Même quand le but est in fine de calculer une mesure standardisée précise, il est souvent mieux de disposer des descriptives dans un article, pour pouvoir calculer LA mesure qui nous intéresse. </w:t>
      </w:r>
      <w:r w:rsidR="00A90301">
        <w:t>D</w:t>
      </w:r>
      <w:r>
        <w:t xml:space="preserve">u coup, dans </w:t>
      </w:r>
      <w:r w:rsidR="00A90301">
        <w:t>certains domaines, on conseille de privilégier</w:t>
      </w:r>
      <w:r>
        <w:t xml:space="preserve"> les mesures non standardisées (tel que la différence de moyenne)</w:t>
      </w:r>
      <w:r w:rsidR="00A90301">
        <w:t xml:space="preserve"> : </w:t>
      </w:r>
    </w:p>
    <w:p w14:paraId="1FCD9CEA" w14:textId="18C6D3C9" w:rsidR="00A90301" w:rsidRDefault="00A90301" w:rsidP="00661F22">
      <w:pPr>
        <w:pStyle w:val="Paragraphedeliste"/>
        <w:numPr>
          <w:ilvl w:val="0"/>
          <w:numId w:val="2"/>
        </w:numPr>
        <w:jc w:val="both"/>
      </w:pPr>
      <w:r>
        <w:t>Dans le contexte des méta-analyses, on conseille souvent de se fier plutôt aux descriptives pour ensuite calculer la mesure standardisée qui correspond à ce dont on a besoin plutôt que de se fier directement à une mesure standardisée proposée (ex. : d de Cohen) ;</w:t>
      </w:r>
    </w:p>
    <w:p w14:paraId="5D1D9979" w14:textId="37A1CFD8" w:rsidR="00A90301" w:rsidRDefault="00A90301" w:rsidP="00661F22">
      <w:pPr>
        <w:pStyle w:val="Paragraphedeliste"/>
        <w:numPr>
          <w:ilvl w:val="0"/>
          <w:numId w:val="2"/>
        </w:numPr>
        <w:jc w:val="both"/>
      </w:pPr>
      <w:r>
        <w:t xml:space="preserve">Dans le contexte des analyses de puissance, il est recommandé d’utiliser des mesures non standardisées </w:t>
      </w:r>
      <w:r w:rsidRPr="00A90301">
        <w:t>de manière à incorporer toutes les informations disponibles et ainsi calculer plus précisément la puissance en prenant directement en compte les particularités de l'étude conçue</w:t>
      </w:r>
      <w:r>
        <w:t xml:space="preserve">. </w:t>
      </w:r>
    </w:p>
    <w:p w14:paraId="55AF59EC" w14:textId="291863A7" w:rsidR="000814BC" w:rsidRDefault="000814BC" w:rsidP="00661F22">
      <w:pPr>
        <w:jc w:val="both"/>
        <w:rPr>
          <w:i/>
          <w:iCs/>
        </w:rPr>
      </w:pPr>
      <w:r>
        <w:t xml:space="preserve">Il faut garder à l’esprit qu’une mesure de taille d’effet doit être simple et compréhensible pour le lecteur, et qu’elle doit pouvoir être interprétée </w:t>
      </w:r>
      <w:r w:rsidRPr="0017152F">
        <w:rPr>
          <w:b/>
          <w:bCs/>
        </w:rPr>
        <w:t>en lien avec la question de recherche</w:t>
      </w:r>
      <w:r w:rsidR="00661F22" w:rsidRPr="0017152F">
        <w:rPr>
          <w:b/>
          <w:bCs/>
        </w:rPr>
        <w:t xml:space="preserve"> </w:t>
      </w:r>
      <w:r w:rsidR="00661F22">
        <w:t>(c’est une question plus importante à se poser que de savoir si on opte pour une mesure standardisée ou non)</w:t>
      </w:r>
      <w:r>
        <w:t>.</w:t>
      </w:r>
      <w:r w:rsidR="00661F22">
        <w:t xml:space="preserve"> </w:t>
      </w:r>
      <w:r>
        <w:t xml:space="preserve"> </w:t>
      </w:r>
      <w:r w:rsidR="00D75379" w:rsidRPr="00D75379">
        <w:rPr>
          <w:i/>
          <w:iCs/>
        </w:rPr>
        <w:t xml:space="preserve">Ex. : </w:t>
      </w:r>
      <w:r w:rsidR="00CA638B" w:rsidRPr="00D75379">
        <w:rPr>
          <w:i/>
          <w:iCs/>
        </w:rPr>
        <w:t xml:space="preserve">Si notre but est de savoir si une thérapie améliore le bien-être, le R² ne sera pas approprié (mais ne donne aucune info concrète sur le sens de l’effet ni sur l’amplitude en termes de score). </w:t>
      </w:r>
      <w:r w:rsidR="0017152F" w:rsidRPr="00D75379">
        <w:rPr>
          <w:i/>
          <w:iCs/>
        </w:rPr>
        <w:t xml:space="preserve">Si au contraire notre but est de déterminer si un effet est fortement soutenu par les données ou pas, alors là le R² sera la mesure adéquate.  </w:t>
      </w:r>
    </w:p>
    <w:p w14:paraId="27B3D410" w14:textId="15D0802B" w:rsidR="00D75379" w:rsidRPr="00D75379" w:rsidRDefault="00D75379" w:rsidP="00661F22">
      <w:pPr>
        <w:jc w:val="both"/>
        <w:rPr>
          <w:i/>
          <w:iCs/>
        </w:rPr>
      </w:pPr>
      <w:r>
        <w:rPr>
          <w:i/>
          <w:iCs/>
        </w:rPr>
        <w:t xml:space="preserve">Ex.2 : si notre but est de voir si le score de lecture est stable à travers le temps chez les adolescents, le coefficient de corrélation intra classe (mesure standardisée) est plus top que la covariance (car balisée et donc plus facile à interpréter). </w:t>
      </w:r>
    </w:p>
    <w:p w14:paraId="49D601A6" w14:textId="1F53A2A4" w:rsidR="00427030" w:rsidRDefault="00FD598E" w:rsidP="00FD598E">
      <w:pPr>
        <w:pStyle w:val="Paragraphedeliste"/>
        <w:numPr>
          <w:ilvl w:val="0"/>
          <w:numId w:val="6"/>
        </w:numPr>
        <w:jc w:val="both"/>
      </w:pPr>
      <w:r>
        <w:t xml:space="preserve">Même si on se limite au </w:t>
      </w:r>
      <w:r w:rsidRPr="00FD598E">
        <w:rPr>
          <w:i/>
          <w:iCs/>
        </w:rPr>
        <w:t>d</w:t>
      </w:r>
      <w:r>
        <w:t xml:space="preserve"> de Cohen, il existe plusieurs manières différentes de calculer le standardis</w:t>
      </w:r>
      <w:r w:rsidR="00136B3C">
        <w:t>e</w:t>
      </w:r>
      <w:r>
        <w:t xml:space="preserve">r, et en fonction de celui qui est choisi, on peut avoir des résultats très différents. Les mesures non standardisées quand elle font sens sont moins simples et plus familières (ex. : nombre de cigarettes fumées, temps de latence, etc.) </w:t>
      </w:r>
    </w:p>
    <w:p w14:paraId="66933F79" w14:textId="423B6153" w:rsidR="00935401" w:rsidRDefault="00935401" w:rsidP="00935401">
      <w:pPr>
        <w:jc w:val="both"/>
      </w:pPr>
    </w:p>
    <w:p w14:paraId="586E0224" w14:textId="014E68E5" w:rsidR="00F6496E" w:rsidRPr="00F6496E" w:rsidRDefault="00F6496E" w:rsidP="00F6496E">
      <w:pPr>
        <w:pStyle w:val="Titre2"/>
        <w:numPr>
          <w:ilvl w:val="0"/>
          <w:numId w:val="1"/>
        </w:numPr>
      </w:pPr>
      <w:r>
        <w:t>Aide à l’interprétation d’une mesure standardisée</w:t>
      </w:r>
    </w:p>
    <w:p w14:paraId="3CBDCCFE" w14:textId="381AD3DC" w:rsidR="00F6496E" w:rsidRDefault="00F6496E" w:rsidP="00136B3C">
      <w:pPr>
        <w:spacing w:after="0"/>
        <w:jc w:val="both"/>
      </w:pPr>
    </w:p>
    <w:p w14:paraId="783E8160" w14:textId="709CFF4D" w:rsidR="00F6496E" w:rsidRDefault="00F6496E" w:rsidP="00661F22">
      <w:pPr>
        <w:jc w:val="both"/>
      </w:pPr>
      <w:r>
        <w:t>Interprétation objective quand il est possible d’établir des liens entre une différence de moyenne sur une échelle donnée et des « symptômes » concrets:</w:t>
      </w:r>
    </w:p>
    <w:p w14:paraId="3B71D542" w14:textId="1D01C63B" w:rsidR="00F6496E" w:rsidRPr="00256C19" w:rsidRDefault="00F6496E" w:rsidP="00F6496E">
      <w:pPr>
        <w:pStyle w:val="Paragraphedeliste"/>
        <w:numPr>
          <w:ilvl w:val="0"/>
          <w:numId w:val="2"/>
        </w:numPr>
        <w:jc w:val="both"/>
      </w:pPr>
      <w:r>
        <w:t xml:space="preserve">Ex. : soit une échelle de Likert à 5 points (allant de 1 = jamais à 5 = très souvent) : on pourrait établir des liens entre ce score et des symptômes </w:t>
      </w:r>
      <w:r w:rsidR="00DC3B26">
        <w:t xml:space="preserve">du style </w:t>
      </w:r>
      <w:r>
        <w:t>« </w:t>
      </w:r>
      <w:r w:rsidRPr="00F6496E">
        <w:rPr>
          <w:i/>
          <w:iCs/>
        </w:rPr>
        <w:t>le nombre de cigarettes fumées par jour par des individus qui ont un score de 1.2</w:t>
      </w:r>
      <w:r>
        <w:t> »).</w:t>
      </w:r>
    </w:p>
    <w:p w14:paraId="41E99287" w14:textId="682E2553" w:rsidR="00CF449C" w:rsidRDefault="00256C19" w:rsidP="00F6496E">
      <w:pPr>
        <w:pStyle w:val="Titre2"/>
        <w:numPr>
          <w:ilvl w:val="0"/>
          <w:numId w:val="1"/>
        </w:numPr>
      </w:pPr>
      <w:proofErr w:type="spellStart"/>
      <w:r>
        <w:t>Bootstrapping</w:t>
      </w:r>
      <w:proofErr w:type="spellEnd"/>
      <w:r>
        <w:t> : comprendre comment l’utiliser pour comparer les moyennes</w:t>
      </w:r>
    </w:p>
    <w:p w14:paraId="4D5AD537" w14:textId="30B286AF" w:rsidR="00616C8C" w:rsidRDefault="00616C8C" w:rsidP="00616C8C"/>
    <w:p w14:paraId="4BE5AA09" w14:textId="1675C2E5" w:rsidR="00616C8C" w:rsidRPr="00616C8C" w:rsidRDefault="00616C8C" w:rsidP="00616C8C">
      <w:r>
        <w:t>Voir aussi « </w:t>
      </w:r>
      <w:proofErr w:type="spellStart"/>
      <w:r>
        <w:t>randomization</w:t>
      </w:r>
      <w:proofErr w:type="spellEnd"/>
      <w:r>
        <w:t xml:space="preserve"> test » (</w:t>
      </w:r>
      <w:r w:rsidR="00F25699">
        <w:t xml:space="preserve">livre de </w:t>
      </w:r>
      <w:proofErr w:type="spellStart"/>
      <w:r>
        <w:t>Edgington</w:t>
      </w:r>
      <w:proofErr w:type="spellEnd"/>
      <w:r>
        <w:t>, 1980) </w:t>
      </w:r>
    </w:p>
    <w:p w14:paraId="78E55CB4" w14:textId="4583734C" w:rsidR="00DC3B26" w:rsidRDefault="00DC3B26">
      <w:pPr>
        <w:rPr>
          <w:rFonts w:asciiTheme="majorHAnsi" w:eastAsiaTheme="majorEastAsia" w:hAnsiTheme="majorHAnsi" w:cstheme="majorBidi"/>
          <w:color w:val="2F5496" w:themeColor="accent1" w:themeShade="BF"/>
          <w:sz w:val="26"/>
          <w:szCs w:val="26"/>
        </w:rPr>
      </w:pPr>
    </w:p>
    <w:p w14:paraId="625F1A0A" w14:textId="681E9920" w:rsidR="00CF449C" w:rsidRDefault="00256C19" w:rsidP="00F6496E">
      <w:pPr>
        <w:pStyle w:val="Titre2"/>
        <w:numPr>
          <w:ilvl w:val="0"/>
          <w:numId w:val="1"/>
        </w:numPr>
      </w:pPr>
      <w:r>
        <w:t>Quid du bayésien ? essayer de trouver une réponse-type au cas où (</w:t>
      </w:r>
      <w:proofErr w:type="spellStart"/>
      <w:r>
        <w:t>cf</w:t>
      </w:r>
      <w:proofErr w:type="spellEnd"/>
      <w:r>
        <w:t> . article de Daniel éventuellement ?)</w:t>
      </w:r>
    </w:p>
    <w:p w14:paraId="615D60F2" w14:textId="24CEF60D" w:rsidR="00242D2A" w:rsidRDefault="00242D2A">
      <w:pPr>
        <w:rPr>
          <w:rFonts w:asciiTheme="majorHAnsi" w:eastAsiaTheme="majorEastAsia" w:hAnsiTheme="majorHAnsi" w:cstheme="majorBidi"/>
          <w:color w:val="2F5496" w:themeColor="accent1" w:themeShade="BF"/>
          <w:sz w:val="26"/>
          <w:szCs w:val="26"/>
        </w:rPr>
      </w:pPr>
    </w:p>
    <w:p w14:paraId="3DA01BBD" w14:textId="77777777" w:rsidR="00E0499F" w:rsidRDefault="00E0499F">
      <w:pPr>
        <w:rPr>
          <w:rFonts w:asciiTheme="majorHAnsi" w:eastAsiaTheme="majorEastAsia" w:hAnsiTheme="majorHAnsi" w:cstheme="majorBidi"/>
          <w:color w:val="2F5496" w:themeColor="accent1" w:themeShade="BF"/>
          <w:sz w:val="26"/>
          <w:szCs w:val="26"/>
        </w:rPr>
      </w:pPr>
      <w:r>
        <w:br w:type="page"/>
      </w:r>
    </w:p>
    <w:p w14:paraId="795BB947" w14:textId="4AA8826B" w:rsidR="00CF449C" w:rsidRDefault="00256C19" w:rsidP="00406EB6">
      <w:pPr>
        <w:pStyle w:val="Titre2"/>
        <w:numPr>
          <w:ilvl w:val="0"/>
          <w:numId w:val="1"/>
        </w:numPr>
        <w:spacing w:after="240"/>
      </w:pPr>
      <w:r w:rsidRPr="00256C19">
        <w:lastRenderedPageBreak/>
        <w:t>Lien test de Welch et régr</w:t>
      </w:r>
      <w:r>
        <w:t>ession</w:t>
      </w:r>
    </w:p>
    <w:p w14:paraId="25123897" w14:textId="3718C78A" w:rsidR="0025603D" w:rsidRDefault="00E71CBF" w:rsidP="0025603D">
      <w:pPr>
        <w:rPr>
          <w:rStyle w:val="Lienhypertexte"/>
          <w:lang w:val="en-US"/>
        </w:rPr>
      </w:pPr>
      <w:hyperlink r:id="rId12" w:anchor="52_welch%E2%80%99s_t-test" w:history="1">
        <w:r w:rsidR="0025603D" w:rsidRPr="00B507C9">
          <w:rPr>
            <w:rStyle w:val="Lienhypertexte"/>
            <w:lang w:val="en-US"/>
          </w:rPr>
          <w:t>Common statistical tests are linear models (or: how to teach stats) (lindeloev.github.io)</w:t>
        </w:r>
      </w:hyperlink>
    </w:p>
    <w:p w14:paraId="4CABC15D" w14:textId="04E28E2C" w:rsidR="00406EB6" w:rsidRPr="00406EB6" w:rsidRDefault="00406EB6" w:rsidP="0025603D">
      <w:pPr>
        <w:rPr>
          <w:rStyle w:val="Lienhypertexte"/>
          <w:b/>
          <w:bCs/>
          <w:color w:val="000000" w:themeColor="text1"/>
          <w:u w:val="none"/>
          <w:lang w:val="en-US"/>
        </w:rPr>
      </w:pPr>
      <w:r w:rsidRPr="00406EB6">
        <w:rPr>
          <w:rStyle w:val="Lienhypertexte"/>
          <w:b/>
          <w:bCs/>
          <w:color w:val="000000" w:themeColor="text1"/>
          <w:u w:val="none"/>
          <w:lang w:val="en-US"/>
        </w:rPr>
        <w:t xml:space="preserve">Script R : </w:t>
      </w:r>
      <w:proofErr w:type="spellStart"/>
      <w:r w:rsidRPr="00406EB6">
        <w:rPr>
          <w:rStyle w:val="Lienhypertexte"/>
          <w:color w:val="000000" w:themeColor="text1"/>
          <w:u w:val="none"/>
          <w:lang w:val="en-US"/>
        </w:rPr>
        <w:t>Welch_modelelineaire.R</w:t>
      </w:r>
      <w:proofErr w:type="spellEnd"/>
    </w:p>
    <w:p w14:paraId="4FEC82C9" w14:textId="2B7F0B97" w:rsidR="0025603D" w:rsidRDefault="00A6663E" w:rsidP="0025603D">
      <w:pPr>
        <w:pStyle w:val="Titre2"/>
        <w:numPr>
          <w:ilvl w:val="1"/>
          <w:numId w:val="1"/>
        </w:numPr>
      </w:pPr>
      <w:r>
        <w:t>L’intercept et l</w:t>
      </w:r>
      <w:r w:rsidR="0025603D">
        <w:t>a pente de régression quand on compare la moyenne de deux groupes :</w:t>
      </w:r>
    </w:p>
    <w:p w14:paraId="5C2A0671" w14:textId="0C173F19" w:rsidR="00256C19" w:rsidRDefault="00256C19" w:rsidP="00147D62">
      <w:pPr>
        <w:spacing w:after="0"/>
      </w:pPr>
    </w:p>
    <w:p w14:paraId="72DC57BA" w14:textId="504481D6" w:rsidR="00CC308C" w:rsidRDefault="00147D62" w:rsidP="00256C19">
      <w:r>
        <w:t>De manière générale, voici comment on calcule la pente d’une régression</w:t>
      </w:r>
      <w:r w:rsidR="00513AB6">
        <w:t> :</w:t>
      </w:r>
    </w:p>
    <w:p w14:paraId="3BF82F02" w14:textId="02167EBE" w:rsidR="00CC308C" w:rsidRDefault="00CC308C" w:rsidP="00CC308C">
      <w:pPr>
        <w:jc w:val="center"/>
      </w:pPr>
      <w:r>
        <w:rPr>
          <w:noProof/>
        </w:rPr>
        <w:drawing>
          <wp:inline distT="0" distB="0" distL="0" distR="0" wp14:anchorId="42F12C8F" wp14:editId="1536C045">
            <wp:extent cx="3273552" cy="1165774"/>
            <wp:effectExtent l="0" t="0" r="317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98114" cy="1174521"/>
                    </a:xfrm>
                    <a:prstGeom prst="rect">
                      <a:avLst/>
                    </a:prstGeom>
                    <a:noFill/>
                    <a:ln>
                      <a:noFill/>
                    </a:ln>
                  </pic:spPr>
                </pic:pic>
              </a:graphicData>
            </a:graphic>
          </wp:inline>
        </w:drawing>
      </w:r>
    </w:p>
    <w:p w14:paraId="072343AD" w14:textId="73C86B0C" w:rsidR="008B6075" w:rsidRDefault="00147D62" w:rsidP="00147D62">
      <w:r>
        <w:t>Dans le contexte de la comparaison de deux moyennes</w:t>
      </w:r>
      <w:r w:rsidR="008B6075">
        <w:t>…</w:t>
      </w:r>
      <w:r w:rsidR="00A00573">
        <w:t xml:space="preserve"> peu importe qu’on considère qu’il y a homoscédasticité ou pas, ça ne change rien à la définition des coefficients (ce qui va changer, c’est le test t réalisé sur le b1, cf. point 5.2).</w:t>
      </w:r>
    </w:p>
    <w:p w14:paraId="3ED5850E" w14:textId="77777777" w:rsidR="00921C63" w:rsidRPr="00921C63" w:rsidRDefault="00921C63" w:rsidP="00921C63">
      <w:pPr>
        <w:shd w:val="clear" w:color="auto" w:fill="E7E6E6" w:themeFill="background2"/>
        <w:spacing w:after="0"/>
        <w:rPr>
          <w:lang w:val="en-US"/>
        </w:rPr>
      </w:pPr>
      <w:r w:rsidRPr="00921C63">
        <w:rPr>
          <w:lang w:val="en-US"/>
        </w:rPr>
        <w:t>n1 &lt;- 10</w:t>
      </w:r>
    </w:p>
    <w:p w14:paraId="205E528A" w14:textId="77777777" w:rsidR="00921C63" w:rsidRPr="00921C63" w:rsidRDefault="00921C63" w:rsidP="00921C63">
      <w:pPr>
        <w:shd w:val="clear" w:color="auto" w:fill="E7E6E6" w:themeFill="background2"/>
        <w:spacing w:after="0"/>
        <w:rPr>
          <w:lang w:val="en-US"/>
        </w:rPr>
      </w:pPr>
      <w:r w:rsidRPr="00921C63">
        <w:rPr>
          <w:lang w:val="en-US"/>
        </w:rPr>
        <w:t>n2 &lt;- 12</w:t>
      </w:r>
    </w:p>
    <w:p w14:paraId="5D91338D" w14:textId="77777777" w:rsidR="00921C63" w:rsidRPr="00921C63" w:rsidRDefault="00921C63" w:rsidP="00921C63">
      <w:pPr>
        <w:shd w:val="clear" w:color="auto" w:fill="E7E6E6" w:themeFill="background2"/>
        <w:spacing w:after="0"/>
        <w:rPr>
          <w:lang w:val="en-US"/>
        </w:rPr>
      </w:pPr>
      <w:r w:rsidRPr="00921C63">
        <w:rPr>
          <w:lang w:val="en-US"/>
        </w:rPr>
        <w:t xml:space="preserve">Gr1 &lt;- </w:t>
      </w:r>
      <w:proofErr w:type="spellStart"/>
      <w:r w:rsidRPr="00921C63">
        <w:rPr>
          <w:lang w:val="en-US"/>
        </w:rPr>
        <w:t>rnorm</w:t>
      </w:r>
      <w:proofErr w:type="spellEnd"/>
      <w:r w:rsidRPr="00921C63">
        <w:rPr>
          <w:lang w:val="en-US"/>
        </w:rPr>
        <w:t>(n1)</w:t>
      </w:r>
    </w:p>
    <w:p w14:paraId="267383A3" w14:textId="77777777" w:rsidR="00921C63" w:rsidRPr="00921C63" w:rsidRDefault="00921C63" w:rsidP="00921C63">
      <w:pPr>
        <w:shd w:val="clear" w:color="auto" w:fill="E7E6E6" w:themeFill="background2"/>
        <w:spacing w:after="0"/>
        <w:rPr>
          <w:lang w:val="en-US"/>
        </w:rPr>
      </w:pPr>
      <w:r w:rsidRPr="00921C63">
        <w:rPr>
          <w:lang w:val="en-US"/>
        </w:rPr>
        <w:t xml:space="preserve">Gr2 &lt;- </w:t>
      </w:r>
      <w:proofErr w:type="spellStart"/>
      <w:r w:rsidRPr="00921C63">
        <w:rPr>
          <w:lang w:val="en-US"/>
        </w:rPr>
        <w:t>rnorm</w:t>
      </w:r>
      <w:proofErr w:type="spellEnd"/>
      <w:r w:rsidRPr="00921C63">
        <w:rPr>
          <w:lang w:val="en-US"/>
        </w:rPr>
        <w:t>(n2)</w:t>
      </w:r>
    </w:p>
    <w:p w14:paraId="388DCEC5" w14:textId="77777777" w:rsidR="00921C63" w:rsidRPr="00921C63" w:rsidRDefault="00921C63" w:rsidP="00921C63">
      <w:pPr>
        <w:shd w:val="clear" w:color="auto" w:fill="E7E6E6" w:themeFill="background2"/>
        <w:spacing w:after="0"/>
        <w:rPr>
          <w:lang w:val="en-US"/>
        </w:rPr>
      </w:pPr>
      <w:r w:rsidRPr="00921C63">
        <w:rPr>
          <w:lang w:val="en-US"/>
        </w:rPr>
        <w:t>y &lt;- c(Gr1,Gr2)</w:t>
      </w:r>
    </w:p>
    <w:p w14:paraId="33422B24" w14:textId="77777777" w:rsidR="00921C63" w:rsidRPr="00921C63" w:rsidRDefault="00921C63" w:rsidP="00921C63">
      <w:pPr>
        <w:shd w:val="clear" w:color="auto" w:fill="E7E6E6" w:themeFill="background2"/>
        <w:spacing w:after="0"/>
        <w:rPr>
          <w:lang w:val="en-US"/>
        </w:rPr>
      </w:pPr>
      <w:r w:rsidRPr="00921C63">
        <w:rPr>
          <w:lang w:val="en-US"/>
        </w:rPr>
        <w:t>x &lt;- c(rep(1,n1),rep(2,n2))</w:t>
      </w:r>
    </w:p>
    <w:p w14:paraId="53279882" w14:textId="77777777" w:rsidR="00921C63" w:rsidRPr="00921C63" w:rsidRDefault="00921C63" w:rsidP="00921C63">
      <w:pPr>
        <w:shd w:val="clear" w:color="auto" w:fill="E7E6E6" w:themeFill="background2"/>
        <w:spacing w:after="0"/>
      </w:pPr>
      <w:r w:rsidRPr="00921C63">
        <w:t>#Représentation graphique des points + descriptives</w:t>
      </w:r>
    </w:p>
    <w:p w14:paraId="31CB7F0E" w14:textId="77777777" w:rsidR="00921C63" w:rsidRPr="00921C63" w:rsidRDefault="00921C63" w:rsidP="00921C63">
      <w:pPr>
        <w:shd w:val="clear" w:color="auto" w:fill="E7E6E6" w:themeFill="background2"/>
        <w:spacing w:after="0"/>
      </w:pPr>
      <w:r w:rsidRPr="00921C63">
        <w:t>plot(</w:t>
      </w:r>
      <w:proofErr w:type="spellStart"/>
      <w:r w:rsidRPr="00921C63">
        <w:t>y~x</w:t>
      </w:r>
      <w:proofErr w:type="spellEnd"/>
      <w:r w:rsidRPr="00921C63">
        <w:t>)</w:t>
      </w:r>
    </w:p>
    <w:p w14:paraId="66D5F81A" w14:textId="77777777" w:rsidR="00921C63" w:rsidRPr="00921C63" w:rsidRDefault="00921C63" w:rsidP="00921C63">
      <w:pPr>
        <w:shd w:val="clear" w:color="auto" w:fill="E7E6E6" w:themeFill="background2"/>
        <w:spacing w:after="0"/>
      </w:pPr>
      <w:proofErr w:type="spellStart"/>
      <w:r w:rsidRPr="00921C63">
        <w:t>means</w:t>
      </w:r>
      <w:proofErr w:type="spellEnd"/>
      <w:r w:rsidRPr="00921C63">
        <w:t xml:space="preserve"> &lt;- </w:t>
      </w:r>
      <w:proofErr w:type="spellStart"/>
      <w:r w:rsidRPr="00921C63">
        <w:t>tapply</w:t>
      </w:r>
      <w:proofErr w:type="spellEnd"/>
      <w:r w:rsidRPr="00921C63">
        <w:t xml:space="preserve">(y, x, </w:t>
      </w:r>
      <w:proofErr w:type="spellStart"/>
      <w:r w:rsidRPr="00921C63">
        <w:t>mean</w:t>
      </w:r>
      <w:proofErr w:type="spellEnd"/>
      <w:r w:rsidRPr="00921C63">
        <w:t>) # Moyenne par groupe</w:t>
      </w:r>
    </w:p>
    <w:p w14:paraId="399BEA3E" w14:textId="77777777" w:rsidR="00921C63" w:rsidRPr="00921C63" w:rsidRDefault="00921C63" w:rsidP="00921C63">
      <w:pPr>
        <w:shd w:val="clear" w:color="auto" w:fill="E7E6E6" w:themeFill="background2"/>
        <w:spacing w:after="0"/>
      </w:pPr>
      <w:r w:rsidRPr="00921C63">
        <w:t xml:space="preserve">m0 &lt;- </w:t>
      </w:r>
      <w:proofErr w:type="spellStart"/>
      <w:r w:rsidRPr="00921C63">
        <w:t>means</w:t>
      </w:r>
      <w:proofErr w:type="spellEnd"/>
      <w:r w:rsidRPr="00921C63">
        <w:t>[1]</w:t>
      </w:r>
    </w:p>
    <w:p w14:paraId="0D349B4F" w14:textId="3636D2F5" w:rsidR="00921C63" w:rsidRPr="00921C63" w:rsidRDefault="00921C63" w:rsidP="00921C63">
      <w:pPr>
        <w:shd w:val="clear" w:color="auto" w:fill="E7E6E6" w:themeFill="background2"/>
        <w:spacing w:after="0"/>
      </w:pPr>
      <w:r w:rsidRPr="00921C63">
        <w:t xml:space="preserve">m1 &lt;- </w:t>
      </w:r>
      <w:proofErr w:type="spellStart"/>
      <w:r w:rsidRPr="00921C63">
        <w:t>means</w:t>
      </w:r>
      <w:proofErr w:type="spellEnd"/>
      <w:r w:rsidRPr="00921C63">
        <w:t>[2]</w:t>
      </w:r>
    </w:p>
    <w:p w14:paraId="0DF9F549" w14:textId="77777777" w:rsidR="00921C63" w:rsidRDefault="00921C63" w:rsidP="00921C63">
      <w:pPr>
        <w:spacing w:after="0"/>
      </w:pPr>
    </w:p>
    <w:p w14:paraId="016EAD23" w14:textId="7047CFC0" w:rsidR="00147D62" w:rsidRDefault="008B6075" w:rsidP="00147D62">
      <w:r>
        <w:t xml:space="preserve">… si j’utilise des </w:t>
      </w:r>
      <w:proofErr w:type="spellStart"/>
      <w:r>
        <w:t>dummy</w:t>
      </w:r>
      <w:proofErr w:type="spellEnd"/>
      <w:r>
        <w:t xml:space="preserve"> codes (0 ; 1) </w:t>
      </w:r>
      <w:r w:rsidR="00147D62">
        <w:t> :</w:t>
      </w:r>
    </w:p>
    <w:p w14:paraId="76FE6686" w14:textId="5C93CAED" w:rsidR="00147D62" w:rsidRDefault="00210C66" w:rsidP="00147D62">
      <w:pPr>
        <w:jc w:val="center"/>
      </w:pPr>
      <w:r>
        <w:rPr>
          <w:noProof/>
        </w:rPr>
        <w:drawing>
          <wp:inline distT="0" distB="0" distL="0" distR="0" wp14:anchorId="54F9CACB" wp14:editId="20C7AB6A">
            <wp:extent cx="1878343" cy="1383792"/>
            <wp:effectExtent l="0" t="0" r="7620" b="698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13915" cy="1409998"/>
                    </a:xfrm>
                    <a:prstGeom prst="rect">
                      <a:avLst/>
                    </a:prstGeom>
                    <a:noFill/>
                    <a:ln>
                      <a:noFill/>
                    </a:ln>
                  </pic:spPr>
                </pic:pic>
              </a:graphicData>
            </a:graphic>
          </wp:inline>
        </w:drawing>
      </w:r>
    </w:p>
    <w:p w14:paraId="4D5A702B" w14:textId="4788F2E2" w:rsidR="00CC308C" w:rsidRDefault="00CC308C" w:rsidP="00CC308C">
      <w:r w:rsidRPr="00CC308C">
        <w:t>Sachant que y = b</w:t>
      </w:r>
      <w:r w:rsidRPr="00CC308C">
        <w:rPr>
          <w:vertAlign w:val="subscript"/>
        </w:rPr>
        <w:t>0</w:t>
      </w:r>
      <w:r w:rsidRPr="00CC308C">
        <w:t>+b</w:t>
      </w:r>
      <w:r w:rsidRPr="00CC308C">
        <w:rPr>
          <w:vertAlign w:val="subscript"/>
        </w:rPr>
        <w:t>1</w:t>
      </w:r>
      <w:r>
        <w:t>x</w:t>
      </w:r>
    </w:p>
    <w:p w14:paraId="5EFB86C0" w14:textId="77777777" w:rsidR="00CC308C" w:rsidRDefault="00CC308C" w:rsidP="00CC308C">
      <w:pPr>
        <w:pStyle w:val="Paragraphedeliste"/>
        <w:numPr>
          <w:ilvl w:val="0"/>
          <w:numId w:val="9"/>
        </w:numPr>
      </w:pPr>
      <w:r w:rsidRPr="00CC308C">
        <w:rPr>
          <w:b/>
          <w:bCs/>
          <w:u w:val="single"/>
        </w:rPr>
        <w:t>b</w:t>
      </w:r>
      <w:r w:rsidRPr="00CC308C">
        <w:rPr>
          <w:b/>
          <w:bCs/>
          <w:u w:val="single"/>
          <w:vertAlign w:val="subscript"/>
        </w:rPr>
        <w:t>0</w:t>
      </w:r>
      <w:r w:rsidRPr="00CC308C">
        <w:rPr>
          <w:b/>
          <w:bCs/>
          <w:u w:val="single"/>
        </w:rPr>
        <w:t xml:space="preserve"> = ordonnée à l’origine</w:t>
      </w:r>
      <w:r>
        <w:t xml:space="preserve"> = valeur prédite pour y quand x = 0 (= moyenne du groupe codé 0)</w:t>
      </w:r>
    </w:p>
    <w:p w14:paraId="433AD6D0" w14:textId="4711BB8B" w:rsidR="00CC308C" w:rsidRPr="0025603D" w:rsidRDefault="00CC308C" w:rsidP="00CC308C">
      <w:pPr>
        <w:pStyle w:val="Paragraphedeliste"/>
        <w:numPr>
          <w:ilvl w:val="0"/>
          <w:numId w:val="9"/>
        </w:numPr>
        <w:rPr>
          <w:b/>
          <w:bCs/>
          <w:u w:val="single"/>
        </w:rPr>
      </w:pPr>
      <w:r w:rsidRPr="00CC308C">
        <w:rPr>
          <w:b/>
          <w:bCs/>
          <w:u w:val="single"/>
        </w:rPr>
        <w:t>b</w:t>
      </w:r>
      <w:r w:rsidRPr="00CC308C">
        <w:rPr>
          <w:b/>
          <w:bCs/>
          <w:u w:val="single"/>
          <w:vertAlign w:val="subscript"/>
        </w:rPr>
        <w:t>1</w:t>
      </w:r>
      <w:r w:rsidRPr="00CC308C">
        <w:rPr>
          <w:b/>
          <w:bCs/>
          <w:u w:val="single"/>
        </w:rPr>
        <w:t xml:space="preserve"> = pente</w:t>
      </w:r>
      <w:r>
        <w:t xml:space="preserve"> = </w:t>
      </w:r>
      <m:oMath>
        <m:f>
          <m:fPr>
            <m:ctrlPr>
              <w:rPr>
                <w:rFonts w:ascii="Cambria Math" w:hAnsi="Cambria Math"/>
                <w:i/>
              </w:rPr>
            </m:ctrlPr>
          </m:fPr>
          <m:num>
            <m:r>
              <w:rPr>
                <w:rFonts w:ascii="Cambria Math" w:hAnsi="Cambria Math"/>
              </w:rPr>
              <m:t>∆y</m:t>
            </m:r>
          </m:num>
          <m:den>
            <m:r>
              <w:rPr>
                <w:rFonts w:ascii="Cambria Math" w:hAnsi="Cambria Math"/>
              </w:rPr>
              <m:t>∆x</m:t>
            </m:r>
          </m:den>
        </m:f>
      </m:oMath>
      <w:r>
        <w:rPr>
          <w:rFonts w:eastAsiaTheme="minorEastAsia"/>
        </w:rPr>
        <w:t xml:space="preserve"> (cf. schéma ci-dessus) </w:t>
      </w:r>
      <w:r w:rsidR="00147D62">
        <w:rPr>
          <w:rFonts w:eastAsiaTheme="minorEastAsia"/>
        </w:rPr>
        <w:t xml:space="preserve">= </w:t>
      </w:r>
      <m:oMath>
        <m:f>
          <m:fPr>
            <m:ctrlPr>
              <w:rPr>
                <w:rFonts w:ascii="Cambria Math" w:hAnsi="Cambria Math"/>
                <w:i/>
              </w:rPr>
            </m:ctrlPr>
          </m:fPr>
          <m:num>
            <m:r>
              <w:rPr>
                <w:rFonts w:ascii="Cambria Math" w:hAnsi="Cambria Math"/>
              </w:rPr>
              <m:t>mea</m:t>
            </m:r>
            <m:sSub>
              <m:sSubPr>
                <m:ctrlPr>
                  <w:rPr>
                    <w:rFonts w:ascii="Cambria Math" w:hAnsi="Cambria Math"/>
                    <w:i/>
                  </w:rPr>
                </m:ctrlPr>
              </m:sSubPr>
              <m:e>
                <m:r>
                  <w:rPr>
                    <w:rFonts w:ascii="Cambria Math" w:hAnsi="Cambria Math"/>
                  </w:rPr>
                  <m:t>n</m:t>
                </m:r>
              </m:e>
              <m:sub>
                <m:r>
                  <w:rPr>
                    <w:rFonts w:ascii="Cambria Math" w:hAnsi="Cambria Math"/>
                  </w:rPr>
                  <m:t>gr1</m:t>
                </m:r>
              </m:sub>
            </m:sSub>
            <m:r>
              <w:rPr>
                <w:rFonts w:ascii="Cambria Math" w:hAnsi="Cambria Math"/>
              </w:rPr>
              <m:t>-mea</m:t>
            </m:r>
            <m:sSub>
              <m:sSubPr>
                <m:ctrlPr>
                  <w:rPr>
                    <w:rFonts w:ascii="Cambria Math" w:hAnsi="Cambria Math"/>
                    <w:i/>
                  </w:rPr>
                </m:ctrlPr>
              </m:sSubPr>
              <m:e>
                <m:r>
                  <w:rPr>
                    <w:rFonts w:ascii="Cambria Math" w:hAnsi="Cambria Math"/>
                  </w:rPr>
                  <m:t>n</m:t>
                </m:r>
              </m:e>
              <m:sub>
                <m:r>
                  <w:rPr>
                    <w:rFonts w:ascii="Cambria Math" w:hAnsi="Cambria Math"/>
                  </w:rPr>
                  <m:t>gr0</m:t>
                </m:r>
              </m:sub>
            </m:sSub>
          </m:num>
          <m:den>
            <m:r>
              <w:rPr>
                <w:rFonts w:ascii="Cambria Math" w:hAnsi="Cambria Math"/>
              </w:rPr>
              <m:t>1-0</m:t>
            </m:r>
          </m:den>
        </m:f>
      </m:oMath>
      <w:r w:rsidR="00210C66">
        <w:rPr>
          <w:rFonts w:eastAsiaTheme="minorEastAsia"/>
        </w:rPr>
        <w:t xml:space="preserve"> = </w:t>
      </w:r>
      <m:oMath>
        <m:r>
          <w:rPr>
            <w:rFonts w:ascii="Cambria Math" w:hAnsi="Cambria Math"/>
          </w:rPr>
          <m:t>mea</m:t>
        </m:r>
        <m:sSub>
          <m:sSubPr>
            <m:ctrlPr>
              <w:rPr>
                <w:rFonts w:ascii="Cambria Math" w:hAnsi="Cambria Math"/>
                <w:i/>
              </w:rPr>
            </m:ctrlPr>
          </m:sSubPr>
          <m:e>
            <m:r>
              <w:rPr>
                <w:rFonts w:ascii="Cambria Math" w:hAnsi="Cambria Math"/>
              </w:rPr>
              <m:t>n</m:t>
            </m:r>
          </m:e>
          <m:sub>
            <m:r>
              <w:rPr>
                <w:rFonts w:ascii="Cambria Math" w:hAnsi="Cambria Math"/>
              </w:rPr>
              <m:t>gr1</m:t>
            </m:r>
          </m:sub>
        </m:sSub>
        <m:r>
          <w:rPr>
            <w:rFonts w:ascii="Cambria Math" w:hAnsi="Cambria Math"/>
          </w:rPr>
          <m:t>-mea</m:t>
        </m:r>
        <m:sSub>
          <m:sSubPr>
            <m:ctrlPr>
              <w:rPr>
                <w:rFonts w:ascii="Cambria Math" w:hAnsi="Cambria Math"/>
                <w:i/>
              </w:rPr>
            </m:ctrlPr>
          </m:sSubPr>
          <m:e>
            <m:r>
              <w:rPr>
                <w:rFonts w:ascii="Cambria Math" w:hAnsi="Cambria Math"/>
              </w:rPr>
              <m:t>n</m:t>
            </m:r>
          </m:e>
          <m:sub>
            <m:r>
              <w:rPr>
                <w:rFonts w:ascii="Cambria Math" w:hAnsi="Cambria Math"/>
              </w:rPr>
              <m:t>gr0</m:t>
            </m:r>
          </m:sub>
        </m:sSub>
      </m:oMath>
    </w:p>
    <w:p w14:paraId="3EDB1F00" w14:textId="6B972374" w:rsidR="009644B5" w:rsidRDefault="009644B5" w:rsidP="009644B5">
      <w:pPr>
        <w:jc w:val="both"/>
      </w:pPr>
      <w:r>
        <w:lastRenderedPageBreak/>
        <w:t xml:space="preserve">Intuitivement, la meilleure prédiction qu’on peut faire pour un point appartenant à un groupe donné correspond à la moyenne de ce groupe. </w:t>
      </w:r>
    </w:p>
    <w:p w14:paraId="77412634" w14:textId="77777777" w:rsidR="009644B5" w:rsidRDefault="009644B5" w:rsidP="009644B5">
      <w:pPr>
        <w:rPr>
          <w:rFonts w:eastAsiaTheme="minorEastAsia"/>
        </w:rPr>
      </w:pPr>
      <w:r>
        <w:t xml:space="preserve">Sachant que </w:t>
      </w:r>
      <m:oMath>
        <m:acc>
          <m:accPr>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x</m:t>
        </m:r>
      </m:oMath>
    </w:p>
    <w:p w14:paraId="1963859D" w14:textId="41628FB2" w:rsidR="009644B5" w:rsidRPr="009644B5" w:rsidRDefault="009644B5" w:rsidP="009644B5">
      <w:pPr>
        <w:pStyle w:val="Paragraphedeliste"/>
        <w:numPr>
          <w:ilvl w:val="0"/>
          <w:numId w:val="5"/>
        </w:numPr>
      </w:pPr>
      <w:r>
        <w:t xml:space="preserve">Si x = 0 : </w:t>
      </w:r>
      <m:oMath>
        <m:acc>
          <m:accPr>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oMath>
      <w:r>
        <w:rPr>
          <w:rFonts w:eastAsiaTheme="minorEastAsia"/>
        </w:rPr>
        <w:t xml:space="preserve"> = m</w:t>
      </w:r>
      <w:r w:rsidRPr="009644B5">
        <w:rPr>
          <w:rFonts w:eastAsiaTheme="minorEastAsia"/>
          <w:vertAlign w:val="subscript"/>
        </w:rPr>
        <w:t>0</w:t>
      </w:r>
    </w:p>
    <w:p w14:paraId="1A09A118" w14:textId="43BB9D0F" w:rsidR="009644B5" w:rsidRDefault="009644B5" w:rsidP="009644B5">
      <w:pPr>
        <w:pStyle w:val="Paragraphedeliste"/>
        <w:numPr>
          <w:ilvl w:val="0"/>
          <w:numId w:val="5"/>
        </w:numPr>
      </w:pPr>
      <w:r>
        <w:rPr>
          <w:rFonts w:eastAsiaTheme="minorEastAsia"/>
        </w:rPr>
        <w:t xml:space="preserve">Si x = 1 : </w:t>
      </w:r>
      <m:oMath>
        <m:acc>
          <m:accPr>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oMath>
      <w:r>
        <w:rPr>
          <w:rFonts w:eastAsiaTheme="minorEastAsia"/>
        </w:rPr>
        <w:t xml:space="preserve"> = m</w:t>
      </w:r>
      <w:r w:rsidRPr="009644B5">
        <w:rPr>
          <w:rFonts w:eastAsiaTheme="minorEastAsia"/>
          <w:vertAlign w:val="subscript"/>
        </w:rPr>
        <w:t>1</w:t>
      </w:r>
      <w:r>
        <w:rPr>
          <w:rFonts w:eastAsiaTheme="minorEastAsia"/>
        </w:rPr>
        <w:t xml:space="preserve"> </w:t>
      </w:r>
      <w:r w:rsidRPr="009644B5">
        <w:rPr>
          <w:rFonts w:eastAsiaTheme="minorEastAsia"/>
        </w:rPr>
        <w:sym w:font="Wingdings" w:char="F0DF"/>
      </w:r>
      <w:r w:rsidRPr="009644B5">
        <w:rPr>
          <w:rFonts w:eastAsiaTheme="minorEastAsia"/>
        </w:rPr>
        <w:sym w:font="Wingdings" w:char="F0E0"/>
      </w:r>
      <w:r>
        <w:rPr>
          <w:rFonts w:eastAsiaTheme="minorEastAsia"/>
        </w:rPr>
        <w:t xml:space="preserve">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Pr>
          <w:rFonts w:eastAsiaTheme="minorEastAsia"/>
        </w:rPr>
        <w:t xml:space="preserve"> = m</w:t>
      </w:r>
      <w:r w:rsidRPr="009644B5">
        <w:rPr>
          <w:rFonts w:eastAsiaTheme="minorEastAsia"/>
          <w:vertAlign w:val="subscript"/>
        </w:rPr>
        <w:t>1</w:t>
      </w:r>
      <w:r>
        <w:rPr>
          <w:rFonts w:eastAsiaTheme="minorEastAsia"/>
        </w:rPr>
        <w:t xml:space="preserve"> -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rPr>
          <w:rFonts w:eastAsiaTheme="minorEastAsia"/>
        </w:rPr>
        <w:t xml:space="preserve"> = m</w:t>
      </w:r>
      <w:r w:rsidRPr="009644B5">
        <w:rPr>
          <w:rFonts w:eastAsiaTheme="minorEastAsia"/>
          <w:vertAlign w:val="subscript"/>
        </w:rPr>
        <w:t>1</w:t>
      </w:r>
      <w:r>
        <w:rPr>
          <w:rFonts w:eastAsiaTheme="minorEastAsia"/>
        </w:rPr>
        <w:t>-m</w:t>
      </w:r>
      <w:r w:rsidRPr="009644B5">
        <w:rPr>
          <w:rFonts w:eastAsiaTheme="minorEastAsia"/>
          <w:vertAlign w:val="subscript"/>
        </w:rPr>
        <w:t>0</w:t>
      </w:r>
    </w:p>
    <w:p w14:paraId="0F2A4D97" w14:textId="77777777" w:rsidR="00921C63" w:rsidRDefault="00921C63" w:rsidP="00921C63">
      <w:pPr>
        <w:shd w:val="clear" w:color="auto" w:fill="D0CECE" w:themeFill="background2" w:themeFillShade="E6"/>
        <w:spacing w:after="0"/>
      </w:pPr>
      <w:r>
        <w:t># Utiliser le modèle linaire</w:t>
      </w:r>
    </w:p>
    <w:p w14:paraId="64EF5D5D" w14:textId="77777777" w:rsidR="00921C63" w:rsidRDefault="00921C63" w:rsidP="00921C63">
      <w:pPr>
        <w:shd w:val="clear" w:color="auto" w:fill="D0CECE" w:themeFill="background2" w:themeFillShade="E6"/>
        <w:spacing w:after="0"/>
      </w:pPr>
      <w:r>
        <w:t xml:space="preserve"># (a) avec le </w:t>
      </w:r>
      <w:proofErr w:type="spellStart"/>
      <w:r>
        <w:t>dummy</w:t>
      </w:r>
      <w:proofErr w:type="spellEnd"/>
      <w:r>
        <w:t xml:space="preserve"> </w:t>
      </w:r>
      <w:proofErr w:type="spellStart"/>
      <w:r>
        <w:t>coding</w:t>
      </w:r>
      <w:proofErr w:type="spellEnd"/>
    </w:p>
    <w:p w14:paraId="4DDDABE0" w14:textId="77777777" w:rsidR="00921C63" w:rsidRPr="00921C63" w:rsidRDefault="00921C63" w:rsidP="00921C63">
      <w:pPr>
        <w:shd w:val="clear" w:color="auto" w:fill="D0CECE" w:themeFill="background2" w:themeFillShade="E6"/>
        <w:spacing w:after="0"/>
        <w:rPr>
          <w:lang w:val="en-US"/>
        </w:rPr>
      </w:pPr>
      <w:r w:rsidRPr="00921C63">
        <w:rPr>
          <w:lang w:val="en-US"/>
        </w:rPr>
        <w:t>x &lt;- c(rep(0,n1),rep(1,n2))</w:t>
      </w:r>
    </w:p>
    <w:p w14:paraId="4C178A37" w14:textId="77777777" w:rsidR="00921C63" w:rsidRPr="00921C63" w:rsidRDefault="00921C63" w:rsidP="00921C63">
      <w:pPr>
        <w:shd w:val="clear" w:color="auto" w:fill="D0CECE" w:themeFill="background2" w:themeFillShade="E6"/>
        <w:spacing w:after="0"/>
        <w:rPr>
          <w:lang w:val="en-US"/>
        </w:rPr>
      </w:pPr>
      <w:proofErr w:type="spellStart"/>
      <w:r w:rsidRPr="00921C63">
        <w:rPr>
          <w:lang w:val="en-US"/>
        </w:rPr>
        <w:t>regr</w:t>
      </w:r>
      <w:proofErr w:type="spellEnd"/>
      <w:r w:rsidRPr="00921C63">
        <w:rPr>
          <w:lang w:val="en-US"/>
        </w:rPr>
        <w:t>&lt;-summary(</w:t>
      </w:r>
      <w:proofErr w:type="spellStart"/>
      <w:r w:rsidRPr="00921C63">
        <w:rPr>
          <w:lang w:val="en-US"/>
        </w:rPr>
        <w:t>lm</w:t>
      </w:r>
      <w:proofErr w:type="spellEnd"/>
      <w:r w:rsidRPr="00921C63">
        <w:rPr>
          <w:lang w:val="en-US"/>
        </w:rPr>
        <w:t>(</w:t>
      </w:r>
      <w:proofErr w:type="spellStart"/>
      <w:r w:rsidRPr="00921C63">
        <w:rPr>
          <w:lang w:val="en-US"/>
        </w:rPr>
        <w:t>y~x</w:t>
      </w:r>
      <w:proofErr w:type="spellEnd"/>
      <w:r w:rsidRPr="00921C63">
        <w:rPr>
          <w:lang w:val="en-US"/>
        </w:rPr>
        <w:t xml:space="preserve">)) </w:t>
      </w:r>
    </w:p>
    <w:p w14:paraId="3E1E31A7" w14:textId="77777777" w:rsidR="00921C63" w:rsidRDefault="00921C63" w:rsidP="00921C63">
      <w:pPr>
        <w:shd w:val="clear" w:color="auto" w:fill="D0CECE" w:themeFill="background2" w:themeFillShade="E6"/>
        <w:spacing w:after="0"/>
      </w:pPr>
      <w:r>
        <w:t>round(</w:t>
      </w:r>
      <w:proofErr w:type="spellStart"/>
      <w:r>
        <w:t>regr$coefficients</w:t>
      </w:r>
      <w:proofErr w:type="spellEnd"/>
      <w:r>
        <w:t>[1],5)==round(m0,5) # y = b0+b1x --&gt; quand x = 0, y = b0</w:t>
      </w:r>
    </w:p>
    <w:p w14:paraId="2763AD0F" w14:textId="77777777" w:rsidR="00921C63" w:rsidRDefault="00921C63" w:rsidP="00921C63">
      <w:pPr>
        <w:shd w:val="clear" w:color="auto" w:fill="D0CECE" w:themeFill="background2" w:themeFillShade="E6"/>
        <w:spacing w:after="0"/>
      </w:pPr>
      <w:r>
        <w:t xml:space="preserve">                                                 # b0 = moyenne du groupe codé 0</w:t>
      </w:r>
    </w:p>
    <w:p w14:paraId="56E4F980" w14:textId="35F2E6AD" w:rsidR="00406EB6" w:rsidRDefault="00921C63" w:rsidP="00921C63">
      <w:pPr>
        <w:shd w:val="clear" w:color="auto" w:fill="D0CECE" w:themeFill="background2" w:themeFillShade="E6"/>
        <w:spacing w:after="0"/>
      </w:pPr>
      <w:r>
        <w:t>round(</w:t>
      </w:r>
      <w:proofErr w:type="spellStart"/>
      <w:r>
        <w:t>regr$coefficient</w:t>
      </w:r>
      <w:proofErr w:type="spellEnd"/>
      <w:r>
        <w:t xml:space="preserve">[2],5)==round(m1-m0,5) # b1 = pente = </w:t>
      </w:r>
      <w:proofErr w:type="spellStart"/>
      <w:r>
        <w:t>delta_y</w:t>
      </w:r>
      <w:proofErr w:type="spellEnd"/>
      <w:r>
        <w:t>/</w:t>
      </w:r>
      <w:proofErr w:type="spellStart"/>
      <w:r>
        <w:t>delta_x</w:t>
      </w:r>
      <w:proofErr w:type="spellEnd"/>
      <w:r>
        <w:t xml:space="preserve"> = m1-m0</w:t>
      </w:r>
    </w:p>
    <w:p w14:paraId="51CD8C10" w14:textId="77777777" w:rsidR="00921C63" w:rsidRDefault="00921C63" w:rsidP="00921C63">
      <w:pPr>
        <w:spacing w:after="0"/>
      </w:pPr>
    </w:p>
    <w:p w14:paraId="0EC7BBDD" w14:textId="0BA284DA" w:rsidR="008B6075" w:rsidRDefault="008B6075" w:rsidP="008B6075">
      <w:r w:rsidRPr="008B6075">
        <w:t>… si j’utilise des codes contrastes (-</w:t>
      </w:r>
      <w:r w:rsidR="00B70997">
        <w:t>0.5</w:t>
      </w:r>
      <w:r w:rsidRPr="008B6075">
        <w:t xml:space="preserve"> ; </w:t>
      </w:r>
      <w:r w:rsidR="00B70997">
        <w:t>0.5</w:t>
      </w:r>
      <w:r w:rsidRPr="008B6075">
        <w:t>) :</w:t>
      </w:r>
    </w:p>
    <w:p w14:paraId="54CA3436" w14:textId="4644B383" w:rsidR="008B6075" w:rsidRPr="008B6075" w:rsidRDefault="00210C66" w:rsidP="004D5F62">
      <w:pPr>
        <w:jc w:val="center"/>
      </w:pPr>
      <w:r>
        <w:rPr>
          <w:noProof/>
        </w:rPr>
        <w:drawing>
          <wp:inline distT="0" distB="0" distL="0" distR="0" wp14:anchorId="54A784E7" wp14:editId="4B888930">
            <wp:extent cx="2009423" cy="134112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23653" cy="1350617"/>
                    </a:xfrm>
                    <a:prstGeom prst="rect">
                      <a:avLst/>
                    </a:prstGeom>
                    <a:noFill/>
                    <a:ln>
                      <a:noFill/>
                    </a:ln>
                  </pic:spPr>
                </pic:pic>
              </a:graphicData>
            </a:graphic>
          </wp:inline>
        </w:drawing>
      </w:r>
    </w:p>
    <w:p w14:paraId="5A4781C2" w14:textId="77777777" w:rsidR="004D5F62" w:rsidRDefault="004D5F62" w:rsidP="004D5F62">
      <w:r w:rsidRPr="00CC308C">
        <w:t>Sachant que y = b</w:t>
      </w:r>
      <w:r w:rsidRPr="00CC308C">
        <w:rPr>
          <w:vertAlign w:val="subscript"/>
        </w:rPr>
        <w:t>0</w:t>
      </w:r>
      <w:r w:rsidRPr="00CC308C">
        <w:t>+b</w:t>
      </w:r>
      <w:r w:rsidRPr="00CC308C">
        <w:rPr>
          <w:vertAlign w:val="subscript"/>
        </w:rPr>
        <w:t>1</w:t>
      </w:r>
      <w:r>
        <w:t>x</w:t>
      </w:r>
    </w:p>
    <w:p w14:paraId="0449E80A" w14:textId="5C8B36D9" w:rsidR="004D5F62" w:rsidRDefault="004D5F62" w:rsidP="00B70997">
      <w:pPr>
        <w:pStyle w:val="Paragraphedeliste"/>
        <w:numPr>
          <w:ilvl w:val="0"/>
          <w:numId w:val="9"/>
        </w:numPr>
        <w:spacing w:after="0"/>
      </w:pPr>
      <w:r w:rsidRPr="00CC308C">
        <w:rPr>
          <w:b/>
          <w:bCs/>
          <w:u w:val="single"/>
        </w:rPr>
        <w:t>b</w:t>
      </w:r>
      <w:r w:rsidRPr="00CC308C">
        <w:rPr>
          <w:b/>
          <w:bCs/>
          <w:u w:val="single"/>
          <w:vertAlign w:val="subscript"/>
        </w:rPr>
        <w:t>0</w:t>
      </w:r>
      <w:r w:rsidRPr="00CC308C">
        <w:rPr>
          <w:b/>
          <w:bCs/>
          <w:u w:val="single"/>
        </w:rPr>
        <w:t xml:space="preserve"> = ordonnée à l’origine</w:t>
      </w:r>
      <w:r>
        <w:t xml:space="preserve"> = valeur prédite pour y quand x = 0 (= moyenne non pondérée des deux groupes, puisque l’intercept est exactement à égal distance des deux moyennes)</w:t>
      </w:r>
    </w:p>
    <w:p w14:paraId="76BE2006" w14:textId="77777777" w:rsidR="00B70997" w:rsidRPr="00B70997" w:rsidRDefault="004D5F62" w:rsidP="00B70997">
      <w:pPr>
        <w:pStyle w:val="Paragraphedeliste"/>
        <w:numPr>
          <w:ilvl w:val="0"/>
          <w:numId w:val="9"/>
        </w:numPr>
        <w:spacing w:after="0"/>
        <w:rPr>
          <w:b/>
          <w:bCs/>
          <w:u w:val="single"/>
        </w:rPr>
      </w:pPr>
      <w:r w:rsidRPr="00CC308C">
        <w:rPr>
          <w:b/>
          <w:bCs/>
          <w:u w:val="single"/>
        </w:rPr>
        <w:t>b</w:t>
      </w:r>
      <w:r w:rsidRPr="00CC308C">
        <w:rPr>
          <w:b/>
          <w:bCs/>
          <w:u w:val="single"/>
          <w:vertAlign w:val="subscript"/>
        </w:rPr>
        <w:t>1</w:t>
      </w:r>
      <w:r w:rsidRPr="00CC308C">
        <w:rPr>
          <w:b/>
          <w:bCs/>
          <w:u w:val="single"/>
        </w:rPr>
        <w:t xml:space="preserve"> = pente</w:t>
      </w:r>
      <w:r>
        <w:t xml:space="preserve"> = </w:t>
      </w:r>
      <m:oMath>
        <m:f>
          <m:fPr>
            <m:ctrlPr>
              <w:rPr>
                <w:rFonts w:ascii="Cambria Math" w:hAnsi="Cambria Math"/>
                <w:i/>
              </w:rPr>
            </m:ctrlPr>
          </m:fPr>
          <m:num>
            <m:r>
              <w:rPr>
                <w:rFonts w:ascii="Cambria Math" w:hAnsi="Cambria Math"/>
              </w:rPr>
              <m:t>∆y</m:t>
            </m:r>
          </m:num>
          <m:den>
            <m:r>
              <w:rPr>
                <w:rFonts w:ascii="Cambria Math" w:hAnsi="Cambria Math"/>
              </w:rPr>
              <m:t>∆x</m:t>
            </m:r>
          </m:den>
        </m:f>
      </m:oMath>
      <w:r>
        <w:rPr>
          <w:rFonts w:eastAsiaTheme="minorEastAsia"/>
        </w:rPr>
        <w:t xml:space="preserve"> (cf. schéma ci-dessus) = </w:t>
      </w:r>
      <m:oMath>
        <m:f>
          <m:fPr>
            <m:ctrlPr>
              <w:rPr>
                <w:rFonts w:ascii="Cambria Math" w:hAnsi="Cambria Math"/>
                <w:i/>
              </w:rPr>
            </m:ctrlPr>
          </m:fPr>
          <m:num>
            <m:r>
              <w:rPr>
                <w:rFonts w:ascii="Cambria Math" w:hAnsi="Cambria Math"/>
              </w:rPr>
              <m:t>mea</m:t>
            </m:r>
            <m:sSub>
              <m:sSubPr>
                <m:ctrlPr>
                  <w:rPr>
                    <w:rFonts w:ascii="Cambria Math" w:hAnsi="Cambria Math"/>
                    <w:i/>
                  </w:rPr>
                </m:ctrlPr>
              </m:sSubPr>
              <m:e>
                <m:r>
                  <w:rPr>
                    <w:rFonts w:ascii="Cambria Math" w:hAnsi="Cambria Math"/>
                  </w:rPr>
                  <m:t>n</m:t>
                </m:r>
              </m:e>
              <m:sub>
                <m:r>
                  <w:rPr>
                    <w:rFonts w:ascii="Cambria Math" w:hAnsi="Cambria Math"/>
                  </w:rPr>
                  <m:t>gr(0.5)</m:t>
                </m:r>
              </m:sub>
            </m:sSub>
            <m:r>
              <w:rPr>
                <w:rFonts w:ascii="Cambria Math" w:hAnsi="Cambria Math"/>
              </w:rPr>
              <m:t>-mea</m:t>
            </m:r>
            <m:sSub>
              <m:sSubPr>
                <m:ctrlPr>
                  <w:rPr>
                    <w:rFonts w:ascii="Cambria Math" w:hAnsi="Cambria Math"/>
                    <w:i/>
                  </w:rPr>
                </m:ctrlPr>
              </m:sSubPr>
              <m:e>
                <m:r>
                  <w:rPr>
                    <w:rFonts w:ascii="Cambria Math" w:hAnsi="Cambria Math"/>
                  </w:rPr>
                  <m:t>n</m:t>
                </m:r>
              </m:e>
              <m:sub>
                <m:r>
                  <w:rPr>
                    <w:rFonts w:ascii="Cambria Math" w:hAnsi="Cambria Math"/>
                  </w:rPr>
                  <m:t>gr(-0.5)</m:t>
                </m:r>
              </m:sub>
            </m:sSub>
          </m:num>
          <m:den>
            <m:r>
              <w:rPr>
                <w:rFonts w:ascii="Cambria Math" w:hAnsi="Cambria Math"/>
              </w:rPr>
              <m:t>0.5-(-0.5)</m:t>
            </m:r>
          </m:den>
        </m:f>
        <m:r>
          <w:rPr>
            <w:rFonts w:ascii="Cambria Math" w:hAnsi="Cambria Math"/>
          </w:rPr>
          <m:t xml:space="preserve">= </m:t>
        </m:r>
        <m:f>
          <m:fPr>
            <m:ctrlPr>
              <w:rPr>
                <w:rFonts w:ascii="Cambria Math" w:hAnsi="Cambria Math"/>
                <w:i/>
              </w:rPr>
            </m:ctrlPr>
          </m:fPr>
          <m:num>
            <m:r>
              <w:rPr>
                <w:rFonts w:ascii="Cambria Math" w:hAnsi="Cambria Math"/>
              </w:rPr>
              <m:t>mea</m:t>
            </m:r>
            <m:sSub>
              <m:sSubPr>
                <m:ctrlPr>
                  <w:rPr>
                    <w:rFonts w:ascii="Cambria Math" w:hAnsi="Cambria Math"/>
                    <w:i/>
                  </w:rPr>
                </m:ctrlPr>
              </m:sSubPr>
              <m:e>
                <m:r>
                  <w:rPr>
                    <w:rFonts w:ascii="Cambria Math" w:hAnsi="Cambria Math"/>
                  </w:rPr>
                  <m:t>n</m:t>
                </m:r>
              </m:e>
              <m:sub>
                <m:r>
                  <w:rPr>
                    <w:rFonts w:ascii="Cambria Math" w:hAnsi="Cambria Math"/>
                  </w:rPr>
                  <m:t>gr(0.5)</m:t>
                </m:r>
              </m:sub>
            </m:sSub>
            <m:r>
              <w:rPr>
                <w:rFonts w:ascii="Cambria Math" w:hAnsi="Cambria Math"/>
              </w:rPr>
              <m:t>-mea</m:t>
            </m:r>
            <m:sSub>
              <m:sSubPr>
                <m:ctrlPr>
                  <w:rPr>
                    <w:rFonts w:ascii="Cambria Math" w:hAnsi="Cambria Math"/>
                    <w:i/>
                  </w:rPr>
                </m:ctrlPr>
              </m:sSubPr>
              <m:e>
                <m:r>
                  <w:rPr>
                    <w:rFonts w:ascii="Cambria Math" w:hAnsi="Cambria Math"/>
                  </w:rPr>
                  <m:t>n</m:t>
                </m:r>
              </m:e>
              <m:sub>
                <m:r>
                  <w:rPr>
                    <w:rFonts w:ascii="Cambria Math" w:hAnsi="Cambria Math"/>
                  </w:rPr>
                  <m:t>gr(-0.5)</m:t>
                </m:r>
              </m:sub>
            </m:sSub>
          </m:num>
          <m:den>
            <m:r>
              <w:rPr>
                <w:rFonts w:ascii="Cambria Math" w:hAnsi="Cambria Math"/>
              </w:rPr>
              <m:t>1</m:t>
            </m:r>
          </m:den>
        </m:f>
      </m:oMath>
      <w:r w:rsidR="004B6989">
        <w:rPr>
          <w:rFonts w:eastAsiaTheme="minorEastAsia"/>
        </w:rPr>
        <w:t xml:space="preserve"> </w:t>
      </w:r>
    </w:p>
    <w:p w14:paraId="22578513" w14:textId="7746275D" w:rsidR="004D5F62" w:rsidRPr="004B6989" w:rsidRDefault="00B70997" w:rsidP="00B70997">
      <w:pPr>
        <w:pStyle w:val="Paragraphedeliste"/>
        <w:spacing w:after="0"/>
        <w:rPr>
          <w:b/>
          <w:bCs/>
          <w:u w:val="single"/>
        </w:rPr>
      </w:pPr>
      <w:r>
        <w:rPr>
          <w:rFonts w:eastAsiaTheme="minorEastAsia"/>
        </w:rPr>
        <w:t xml:space="preserve">                    </w:t>
      </w:r>
      <w:r w:rsidR="004B6989">
        <w:rPr>
          <w:rFonts w:eastAsiaTheme="minorEastAsia"/>
        </w:rPr>
        <w:t xml:space="preserve">= </w:t>
      </w:r>
      <m:oMath>
        <m:r>
          <w:rPr>
            <w:rFonts w:ascii="Cambria Math" w:hAnsi="Cambria Math"/>
          </w:rPr>
          <m:t>mea</m:t>
        </m:r>
        <m:sSub>
          <m:sSubPr>
            <m:ctrlPr>
              <w:rPr>
                <w:rFonts w:ascii="Cambria Math" w:hAnsi="Cambria Math"/>
                <w:i/>
              </w:rPr>
            </m:ctrlPr>
          </m:sSubPr>
          <m:e>
            <m:r>
              <w:rPr>
                <w:rFonts w:ascii="Cambria Math" w:hAnsi="Cambria Math"/>
              </w:rPr>
              <m:t>n</m:t>
            </m:r>
          </m:e>
          <m:sub>
            <m:r>
              <w:rPr>
                <w:rFonts w:ascii="Cambria Math" w:hAnsi="Cambria Math"/>
              </w:rPr>
              <m:t>gr(0.5)</m:t>
            </m:r>
          </m:sub>
        </m:sSub>
        <m:r>
          <w:rPr>
            <w:rFonts w:ascii="Cambria Math" w:hAnsi="Cambria Math"/>
          </w:rPr>
          <m:t>-mea</m:t>
        </m:r>
        <m:sSub>
          <m:sSubPr>
            <m:ctrlPr>
              <w:rPr>
                <w:rFonts w:ascii="Cambria Math" w:hAnsi="Cambria Math"/>
                <w:i/>
              </w:rPr>
            </m:ctrlPr>
          </m:sSubPr>
          <m:e>
            <m:r>
              <w:rPr>
                <w:rFonts w:ascii="Cambria Math" w:hAnsi="Cambria Math"/>
              </w:rPr>
              <m:t>n</m:t>
            </m:r>
          </m:e>
          <m:sub>
            <m:r>
              <w:rPr>
                <w:rFonts w:ascii="Cambria Math" w:hAnsi="Cambria Math"/>
              </w:rPr>
              <m:t>gr(-0.5)</m:t>
            </m:r>
          </m:sub>
        </m:sSub>
      </m:oMath>
    </w:p>
    <w:p w14:paraId="27D9AB55" w14:textId="2FD90CD7" w:rsidR="009644B5" w:rsidRDefault="009644B5" w:rsidP="005607B7">
      <w:pPr>
        <w:jc w:val="both"/>
      </w:pPr>
      <w:r>
        <w:t xml:space="preserve">Intuitivement, </w:t>
      </w:r>
      <w:r w:rsidR="005607B7">
        <w:t xml:space="preserve">puisque ni </w:t>
      </w:r>
      <m:oMath>
        <m:r>
          <w:rPr>
            <w:rFonts w:ascii="Cambria Math" w:hAnsi="Cambria Math"/>
          </w:rPr>
          <m:t>∆y</m:t>
        </m:r>
      </m:oMath>
      <w:r w:rsidR="005607B7">
        <w:rPr>
          <w:rFonts w:eastAsiaTheme="minorEastAsia"/>
        </w:rPr>
        <w:t xml:space="preserve"> </w:t>
      </w:r>
      <w:r w:rsidR="00B70997">
        <w:rPr>
          <w:rFonts w:eastAsiaTheme="minorEastAsia"/>
        </w:rPr>
        <w:t xml:space="preserve">(= la différence de moyenne) </w:t>
      </w:r>
      <w:r w:rsidR="005607B7">
        <w:rPr>
          <w:rFonts w:eastAsiaTheme="minorEastAsia"/>
        </w:rPr>
        <w:t xml:space="preserve">ni </w:t>
      </w:r>
      <m:oMath>
        <m:r>
          <w:rPr>
            <w:rFonts w:ascii="Cambria Math" w:hAnsi="Cambria Math"/>
          </w:rPr>
          <m:t>∆x</m:t>
        </m:r>
      </m:oMath>
      <w:r w:rsidR="005607B7">
        <w:rPr>
          <w:rFonts w:eastAsiaTheme="minorEastAsia"/>
        </w:rPr>
        <w:t xml:space="preserve"> </w:t>
      </w:r>
      <w:r w:rsidR="00B70997">
        <w:rPr>
          <w:rFonts w:eastAsiaTheme="minorEastAsia"/>
        </w:rPr>
        <w:t xml:space="preserve">(l’écart entre les 2 codes donnés) </w:t>
      </w:r>
      <w:r w:rsidR="005607B7">
        <w:rPr>
          <w:rFonts w:eastAsiaTheme="minorEastAsia"/>
        </w:rPr>
        <w:t xml:space="preserve">n’a changé, la pente est identique à celle obtenue avec le </w:t>
      </w:r>
      <w:proofErr w:type="spellStart"/>
      <w:r w:rsidR="005607B7">
        <w:rPr>
          <w:rFonts w:eastAsiaTheme="minorEastAsia"/>
        </w:rPr>
        <w:t>dummy</w:t>
      </w:r>
      <w:proofErr w:type="spellEnd"/>
      <w:r w:rsidR="005607B7">
        <w:rPr>
          <w:rFonts w:eastAsiaTheme="minorEastAsia"/>
        </w:rPr>
        <w:t xml:space="preserve"> </w:t>
      </w:r>
      <w:proofErr w:type="spellStart"/>
      <w:r w:rsidR="005607B7">
        <w:rPr>
          <w:rFonts w:eastAsiaTheme="minorEastAsia"/>
        </w:rPr>
        <w:t>coding</w:t>
      </w:r>
      <w:proofErr w:type="spellEnd"/>
      <w:r w:rsidR="005607B7">
        <w:rPr>
          <w:rFonts w:eastAsiaTheme="minorEastAsia"/>
        </w:rPr>
        <w:t>. On n’a fait que « translater » la pente d’un demi-point vers la gauche. Donc seule l’ordonnée à l’origine</w:t>
      </w:r>
      <w:r w:rsidR="008350E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oMath>
      <w:r w:rsidR="008350E3">
        <w:rPr>
          <w:rFonts w:eastAsiaTheme="minorEastAsia"/>
        </w:rPr>
        <w:t>)</w:t>
      </w:r>
      <w:r w:rsidR="005607B7">
        <w:rPr>
          <w:rFonts w:eastAsiaTheme="minorEastAsia"/>
        </w:rPr>
        <w:t xml:space="preserve"> change.</w:t>
      </w:r>
      <w:r w:rsidR="00B70997">
        <w:rPr>
          <w:rFonts w:eastAsiaTheme="minorEastAsia"/>
        </w:rPr>
        <w:t xml:space="preserve"> </w:t>
      </w:r>
      <w:r w:rsidR="008350E3">
        <w:rPr>
          <w:rFonts w:eastAsiaTheme="minorEastAsia"/>
        </w:rPr>
        <w:t xml:space="preserve"> </w:t>
      </w:r>
    </w:p>
    <w:p w14:paraId="23B88486" w14:textId="77777777" w:rsidR="002F75E6" w:rsidRDefault="002F75E6">
      <w:r>
        <w:br w:type="page"/>
      </w:r>
    </w:p>
    <w:p w14:paraId="0BC0CF9D" w14:textId="617013E8" w:rsidR="00921C63" w:rsidRDefault="00921C63" w:rsidP="00921C63">
      <w:pPr>
        <w:shd w:val="clear" w:color="auto" w:fill="D0CECE" w:themeFill="background2" w:themeFillShade="E6"/>
        <w:spacing w:after="0"/>
      </w:pPr>
      <w:r>
        <w:lastRenderedPageBreak/>
        <w:t># (b) Avec des prédicteurs centrés</w:t>
      </w:r>
    </w:p>
    <w:p w14:paraId="7EE9620B" w14:textId="77777777" w:rsidR="00921C63" w:rsidRPr="003C573F" w:rsidRDefault="00921C63" w:rsidP="00921C63">
      <w:pPr>
        <w:shd w:val="clear" w:color="auto" w:fill="D0CECE" w:themeFill="background2" w:themeFillShade="E6"/>
        <w:spacing w:after="0"/>
        <w:rPr>
          <w:lang w:val="en-US"/>
        </w:rPr>
      </w:pPr>
      <w:r w:rsidRPr="003C573F">
        <w:rPr>
          <w:lang w:val="en-US"/>
        </w:rPr>
        <w:t xml:space="preserve">x &lt;- c(rep(-.5,n1),rep(.5,n2)) </w:t>
      </w:r>
    </w:p>
    <w:p w14:paraId="2C9CF689" w14:textId="0E5994E7" w:rsidR="00921C63" w:rsidRPr="00921C63" w:rsidRDefault="00921C63" w:rsidP="00921C63">
      <w:pPr>
        <w:shd w:val="clear" w:color="auto" w:fill="D0CECE" w:themeFill="background2" w:themeFillShade="E6"/>
        <w:spacing w:after="0"/>
        <w:rPr>
          <w:lang w:val="en-US"/>
        </w:rPr>
      </w:pPr>
      <w:proofErr w:type="spellStart"/>
      <w:r w:rsidRPr="00921C63">
        <w:rPr>
          <w:lang w:val="en-US"/>
        </w:rPr>
        <w:t>regr</w:t>
      </w:r>
      <w:proofErr w:type="spellEnd"/>
      <w:r w:rsidRPr="00921C63">
        <w:rPr>
          <w:lang w:val="en-US"/>
        </w:rPr>
        <w:t>&lt;-summary(</w:t>
      </w:r>
      <w:proofErr w:type="spellStart"/>
      <w:r w:rsidRPr="00921C63">
        <w:rPr>
          <w:lang w:val="en-US"/>
        </w:rPr>
        <w:t>lm</w:t>
      </w:r>
      <w:proofErr w:type="spellEnd"/>
      <w:r w:rsidRPr="00921C63">
        <w:rPr>
          <w:lang w:val="en-US"/>
        </w:rPr>
        <w:t>(</w:t>
      </w:r>
      <w:proofErr w:type="spellStart"/>
      <w:r w:rsidRPr="00921C63">
        <w:rPr>
          <w:lang w:val="en-US"/>
        </w:rPr>
        <w:t>y~x</w:t>
      </w:r>
      <w:proofErr w:type="spellEnd"/>
      <w:r w:rsidRPr="00921C63">
        <w:rPr>
          <w:lang w:val="en-US"/>
        </w:rPr>
        <w:t>))</w:t>
      </w:r>
    </w:p>
    <w:p w14:paraId="1CAAA802" w14:textId="77777777" w:rsidR="00921C63" w:rsidRDefault="00921C63" w:rsidP="00921C63">
      <w:pPr>
        <w:shd w:val="clear" w:color="auto" w:fill="D0CECE" w:themeFill="background2" w:themeFillShade="E6"/>
        <w:spacing w:after="0"/>
      </w:pPr>
      <w:r>
        <w:t>round(</w:t>
      </w:r>
      <w:proofErr w:type="spellStart"/>
      <w:r>
        <w:t>regr$coefficients</w:t>
      </w:r>
      <w:proofErr w:type="spellEnd"/>
      <w:r>
        <w:t xml:space="preserve">[1],5)==round((m0+m1)/2,5) # b0 est à mi-chemin entre les 2 moyennes, </w:t>
      </w:r>
    </w:p>
    <w:p w14:paraId="59FC1E15" w14:textId="77777777" w:rsidR="00921C63" w:rsidRDefault="00921C63" w:rsidP="00921C63">
      <w:pPr>
        <w:shd w:val="clear" w:color="auto" w:fill="D0CECE" w:themeFill="background2" w:themeFillShade="E6"/>
        <w:spacing w:after="0"/>
      </w:pPr>
      <w:r>
        <w:t xml:space="preserve">                                                  # et correspond donc à la moyenne non pondérée</w:t>
      </w:r>
    </w:p>
    <w:p w14:paraId="381ADECD" w14:textId="77777777" w:rsidR="00921C63" w:rsidRDefault="00921C63" w:rsidP="00921C63">
      <w:pPr>
        <w:shd w:val="clear" w:color="auto" w:fill="D0CECE" w:themeFill="background2" w:themeFillShade="E6"/>
        <w:spacing w:after="0"/>
      </w:pPr>
      <w:r>
        <w:t xml:space="preserve">                                                  # des deux moyennes</w:t>
      </w:r>
    </w:p>
    <w:p w14:paraId="1CA08BA4" w14:textId="74697FD2" w:rsidR="00406EB6" w:rsidRDefault="00921C63" w:rsidP="00921C63">
      <w:pPr>
        <w:shd w:val="clear" w:color="auto" w:fill="D0CECE" w:themeFill="background2" w:themeFillShade="E6"/>
        <w:spacing w:after="0"/>
      </w:pPr>
      <w:r>
        <w:t>round(</w:t>
      </w:r>
      <w:proofErr w:type="spellStart"/>
      <w:r>
        <w:t>regr$coefficient</w:t>
      </w:r>
      <w:proofErr w:type="spellEnd"/>
      <w:r>
        <w:t xml:space="preserve">[2],5)==round(m1-m0,5) # b1 = pente = </w:t>
      </w:r>
      <w:proofErr w:type="spellStart"/>
      <w:r>
        <w:t>delta_y</w:t>
      </w:r>
      <w:proofErr w:type="spellEnd"/>
      <w:r>
        <w:t>/</w:t>
      </w:r>
      <w:proofErr w:type="spellStart"/>
      <w:r>
        <w:t>delta_x</w:t>
      </w:r>
      <w:proofErr w:type="spellEnd"/>
      <w:r>
        <w:t xml:space="preserve"> = (m1-m0)/1 = (m1-m0)</w:t>
      </w:r>
    </w:p>
    <w:p w14:paraId="7A3CF0B9" w14:textId="77777777" w:rsidR="00921C63" w:rsidRPr="00921C63" w:rsidRDefault="00921C63" w:rsidP="00921C63">
      <w:pPr>
        <w:pStyle w:val="Paragraphedeliste"/>
      </w:pPr>
    </w:p>
    <w:p w14:paraId="10C6CFCA" w14:textId="39FB56C7" w:rsidR="00B507C9" w:rsidRPr="004B6989" w:rsidRDefault="00406EB6" w:rsidP="003B7877">
      <w:pPr>
        <w:pStyle w:val="Paragraphedeliste"/>
        <w:numPr>
          <w:ilvl w:val="0"/>
          <w:numId w:val="9"/>
        </w:numPr>
      </w:pPr>
      <w:r w:rsidRPr="00406EB6">
        <w:rPr>
          <w:b/>
          <w:bCs/>
          <w:u w:val="single"/>
        </w:rPr>
        <w:t>CCL</w:t>
      </w:r>
      <w:r>
        <w:t xml:space="preserve"> : </w:t>
      </w:r>
      <w:r w:rsidR="003B7877">
        <w:t>Puisque l’écart entre les deux valeurs sur l’axe des x est identique dans les deux cas, la pente sera la même dans les deux situations, mais par contre la valeur de l’intercept change </w:t>
      </w:r>
      <w:r w:rsidR="003B7877">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47FCF1D1" w14:textId="1B1132A8" w:rsidR="00A6663E" w:rsidRPr="00A6663E" w:rsidRDefault="00A6663E" w:rsidP="00A6663E">
      <w:pPr>
        <w:pStyle w:val="Titre2"/>
        <w:numPr>
          <w:ilvl w:val="1"/>
          <w:numId w:val="1"/>
        </w:numPr>
      </w:pPr>
      <w:r>
        <w:t>Welch : un cas particulier où l’on n’assume pas les variances identiques</w:t>
      </w:r>
    </w:p>
    <w:p w14:paraId="751F2C8C" w14:textId="0BD27DC7" w:rsidR="003B7877" w:rsidRDefault="003B7877"/>
    <w:p w14:paraId="252FE747" w14:textId="1B60ACD0" w:rsidR="00DA5A32" w:rsidRDefault="00DA5A32">
      <w:r>
        <w:t xml:space="preserve">Comme dit précédemment, si je réalise une régression n’impliquant pas qu’il y ait égalité des variances, je vais obtenir exactement les mêmes valeurs pour b0 et b1. Par contre, le test de significativité sur les coefficients va changer. </w:t>
      </w:r>
    </w:p>
    <w:p w14:paraId="7F920319" w14:textId="5C006367" w:rsidR="003C573F" w:rsidRDefault="003C573F">
      <w:r w:rsidRPr="00EF5532">
        <w:rPr>
          <w:b/>
          <w:bCs/>
          <w:u w:val="single"/>
        </w:rPr>
        <w:t>Dans R</w:t>
      </w:r>
      <w:r>
        <w:t>, en passant par le menu « </w:t>
      </w:r>
      <w:proofErr w:type="spellStart"/>
      <w:r>
        <w:t>gls</w:t>
      </w:r>
      <w:proofErr w:type="spellEnd"/>
      <w:r>
        <w:t xml:space="preserve"> », on a la possibilité de spécifier qu’on veut considérer dans notre régression un terme d’erreur qui n’implique pas une variance commune. De la sorte, on peut obtenir exactement la même valeur de statistique qu’en passant par le test t de Welch. </w:t>
      </w:r>
    </w:p>
    <w:p w14:paraId="0CDF4FE4" w14:textId="77777777" w:rsidR="002B0CA3" w:rsidRDefault="002B0CA3" w:rsidP="002B0CA3">
      <w:commentRangeStart w:id="1"/>
      <w:r w:rsidRPr="002B0CA3">
        <w:t>Cependant</w:t>
      </w:r>
      <w:r>
        <w:t xml:space="preserve">, le test de Welch se base sur l’approximation </w:t>
      </w:r>
      <w:proofErr w:type="spellStart"/>
      <w:r>
        <w:t>Satterwaithe</w:t>
      </w:r>
      <w:proofErr w:type="spellEnd"/>
      <w:r>
        <w:t xml:space="preserve"> pour estimer les degrés de liberté, et ce n’est pas le cas du package </w:t>
      </w:r>
      <w:proofErr w:type="spellStart"/>
      <w:r>
        <w:t>gls</w:t>
      </w:r>
      <w:proofErr w:type="spellEnd"/>
      <w:r>
        <w:t xml:space="preserve">. Pour cette raison, on obtient des degrés de liberté différents avec les deux méthodes (et donc forcément des p-valeurs aussi différentes). </w:t>
      </w:r>
      <w:commentRangeEnd w:id="1"/>
      <w:r w:rsidR="00DC3B26">
        <w:rPr>
          <w:rStyle w:val="Marquedecommentaire"/>
        </w:rPr>
        <w:commentReference w:id="1"/>
      </w:r>
    </w:p>
    <w:p w14:paraId="15831BAA" w14:textId="13CCF1D9" w:rsidR="00EF5532" w:rsidRDefault="00EF5532">
      <w:r w:rsidRPr="00EF5532">
        <w:rPr>
          <w:b/>
          <w:bCs/>
          <w:u w:val="single"/>
        </w:rPr>
        <w:t xml:space="preserve">Dans </w:t>
      </w:r>
      <w:proofErr w:type="spellStart"/>
      <w:r w:rsidRPr="00EF5532">
        <w:rPr>
          <w:b/>
          <w:bCs/>
          <w:u w:val="single"/>
        </w:rPr>
        <w:t>Jamovi</w:t>
      </w:r>
      <w:proofErr w:type="spellEnd"/>
      <w:r>
        <w:t xml:space="preserve">, </w:t>
      </w:r>
      <w:r w:rsidR="003401BD">
        <w:t xml:space="preserve">en téléchargeant le package </w:t>
      </w:r>
      <w:proofErr w:type="spellStart"/>
      <w:r w:rsidR="003401BD">
        <w:t>gamlj</w:t>
      </w:r>
      <w:proofErr w:type="spellEnd"/>
      <w:r w:rsidR="003401BD">
        <w:t>, on peut faire des modèles linéaires généralisés</w:t>
      </w:r>
      <w:r w:rsidR="003A2303">
        <w:t xml:space="preserve">, mais rien d’équivalent au test de Welch. Via SPSS par contre, il parait que c’est possible. </w:t>
      </w:r>
      <w:r w:rsidR="003401BD">
        <w:t xml:space="preserve"> </w:t>
      </w:r>
      <w:r w:rsidR="00347722">
        <w:t xml:space="preserve"> </w:t>
      </w:r>
    </w:p>
    <w:p w14:paraId="6C83C3AD" w14:textId="749542A6" w:rsidR="00CF449C" w:rsidRDefault="00256C19" w:rsidP="003C573F">
      <w:pPr>
        <w:pStyle w:val="Titre1"/>
        <w:numPr>
          <w:ilvl w:val="0"/>
          <w:numId w:val="1"/>
        </w:numPr>
      </w:pPr>
      <w:r>
        <w:t>Exemple concr</w:t>
      </w:r>
      <w:r w:rsidR="00805782">
        <w:t>e</w:t>
      </w:r>
      <w:r>
        <w:t>t d’étude où il y a un souci d’hétéroscédasticité</w:t>
      </w:r>
      <w:r w:rsidR="00A60254">
        <w:t xml:space="preserve"> et que cela amène à mal estimer les choses</w:t>
      </w:r>
    </w:p>
    <w:p w14:paraId="67316DF7" w14:textId="275B0B91" w:rsidR="00A60254" w:rsidRDefault="00805782" w:rsidP="00805782">
      <w:pPr>
        <w:jc w:val="both"/>
        <w:rPr>
          <w:b/>
          <w:bCs/>
          <w:color w:val="FF0000"/>
        </w:rPr>
      </w:pPr>
      <w:r w:rsidRPr="001432E3">
        <w:rPr>
          <w:b/>
          <w:bCs/>
          <w:color w:val="FF0000"/>
        </w:rPr>
        <w:t xml:space="preserve">Essayer de trouver un exemple d’une étude. Eventuellement calculer le d de Cohen (le classique) obtenu sur cette étude et le comparer à la valeur qu’on aurait obtenu avec le d non </w:t>
      </w:r>
      <w:proofErr w:type="spellStart"/>
      <w:r w:rsidRPr="001432E3">
        <w:rPr>
          <w:b/>
          <w:bCs/>
          <w:color w:val="FF0000"/>
        </w:rPr>
        <w:t>poolé</w:t>
      </w:r>
      <w:proofErr w:type="spellEnd"/>
      <w:r w:rsidRPr="001432E3">
        <w:rPr>
          <w:b/>
          <w:bCs/>
          <w:color w:val="FF0000"/>
        </w:rPr>
        <w:t xml:space="preserve">… pour montrer que ça peut </w:t>
      </w:r>
      <w:proofErr w:type="spellStart"/>
      <w:r w:rsidRPr="001432E3">
        <w:rPr>
          <w:b/>
          <w:bCs/>
          <w:color w:val="FF0000"/>
        </w:rPr>
        <w:t>enraîner</w:t>
      </w:r>
      <w:proofErr w:type="spellEnd"/>
      <w:r w:rsidRPr="001432E3">
        <w:rPr>
          <w:b/>
          <w:bCs/>
          <w:color w:val="FF0000"/>
        </w:rPr>
        <w:t xml:space="preserve"> de grandes différences.</w:t>
      </w:r>
      <w:r w:rsidR="006F2739">
        <w:rPr>
          <w:b/>
          <w:bCs/>
          <w:color w:val="FF0000"/>
        </w:rPr>
        <w:t xml:space="preserve"> </w:t>
      </w:r>
      <w:proofErr w:type="spellStart"/>
      <w:r w:rsidR="00215841">
        <w:rPr>
          <w:b/>
          <w:bCs/>
          <w:color w:val="FF0000"/>
        </w:rPr>
        <w:t>Jf</w:t>
      </w:r>
      <w:proofErr w:type="spellEnd"/>
      <w:r w:rsidR="00215841">
        <w:rPr>
          <w:b/>
          <w:bCs/>
          <w:color w:val="FF0000"/>
        </w:rPr>
        <w:t>,</w:t>
      </w:r>
    </w:p>
    <w:p w14:paraId="49AC666E" w14:textId="44882CF3" w:rsidR="00A50C41" w:rsidRDefault="00A50C41" w:rsidP="00A6663E">
      <w:pPr>
        <w:pStyle w:val="Titre2"/>
        <w:numPr>
          <w:ilvl w:val="0"/>
          <w:numId w:val="1"/>
        </w:numPr>
      </w:pPr>
      <w:r>
        <w:t>Exemple concret d’étude où on tente de montrer une absence de différence sur base d’un non</w:t>
      </w:r>
      <w:r w:rsidR="00354B72">
        <w:t>-</w:t>
      </w:r>
      <w:r>
        <w:t>rejet de l’hypothèse nulle</w:t>
      </w:r>
    </w:p>
    <w:p w14:paraId="082E43FD" w14:textId="30388F61" w:rsidR="00354B72" w:rsidRDefault="00354B72" w:rsidP="00354B72"/>
    <w:p w14:paraId="50D5EFC9" w14:textId="77777777" w:rsidR="00354B72" w:rsidRDefault="00354B72" w:rsidP="00354B72">
      <w:pPr>
        <w:jc w:val="both"/>
      </w:pPr>
      <w:r w:rsidRPr="00664AB6">
        <w:rPr>
          <w:b/>
          <w:bCs/>
          <w:u w:val="single"/>
        </w:rPr>
        <w:t>Résumé de l’article de Allison et al. (199</w:t>
      </w:r>
      <w:r>
        <w:rPr>
          <w:b/>
          <w:bCs/>
          <w:u w:val="single"/>
        </w:rPr>
        <w:t>3</w:t>
      </w:r>
      <w:r w:rsidRPr="00664AB6">
        <w:rPr>
          <w:b/>
          <w:bCs/>
          <w:u w:val="single"/>
        </w:rPr>
        <w:t>)</w:t>
      </w:r>
      <w:r>
        <w:rPr>
          <w:rStyle w:val="Appelnotedebasdep"/>
          <w:b/>
          <w:bCs/>
          <w:u w:val="single"/>
        </w:rPr>
        <w:footnoteReference w:id="1"/>
      </w:r>
      <w:r>
        <w:t> : ils ont étudié des produits alimentaires trouvés dans des commerces à Manhattan qui se déclaraient « produits sain » ou « produits de régime » (= produits contenant les mots « lite » « low-calorie », « reduced-calorie », « diet », »low-fat », « no-fat », ou « </w:t>
      </w:r>
      <w:proofErr w:type="spellStart"/>
      <w:r>
        <w:t>health</w:t>
      </w:r>
      <w:proofErr w:type="spellEnd"/>
      <w:r>
        <w:t xml:space="preserve"> » dans le descriptif), parmi lesquels : </w:t>
      </w:r>
    </w:p>
    <w:p w14:paraId="3A5CD659" w14:textId="77777777" w:rsidR="00354B72" w:rsidRDefault="00354B72" w:rsidP="00354B72">
      <w:pPr>
        <w:pStyle w:val="Paragraphedeliste"/>
        <w:numPr>
          <w:ilvl w:val="0"/>
          <w:numId w:val="7"/>
        </w:numPr>
        <w:jc w:val="both"/>
      </w:pPr>
      <w:r>
        <w:t>12 sont distribués régionalement (n</w:t>
      </w:r>
      <w:r w:rsidRPr="00CE5AE6">
        <w:rPr>
          <w:vertAlign w:val="subscript"/>
        </w:rPr>
        <w:t>1</w:t>
      </w:r>
      <w:r>
        <w:t>=12)</w:t>
      </w:r>
    </w:p>
    <w:p w14:paraId="1697F67E" w14:textId="77777777" w:rsidR="00354B72" w:rsidRDefault="00354B72" w:rsidP="00354B72">
      <w:pPr>
        <w:pStyle w:val="Paragraphedeliste"/>
        <w:numPr>
          <w:ilvl w:val="0"/>
          <w:numId w:val="7"/>
        </w:numPr>
        <w:jc w:val="both"/>
      </w:pPr>
      <w:r>
        <w:t>20 sont commercialisés nationalement (n</w:t>
      </w:r>
      <w:r w:rsidRPr="00CE5AE6">
        <w:rPr>
          <w:vertAlign w:val="subscript"/>
        </w:rPr>
        <w:t>2</w:t>
      </w:r>
      <w:r>
        <w:t>=20)</w:t>
      </w:r>
    </w:p>
    <w:p w14:paraId="5ED7F14D" w14:textId="77777777" w:rsidR="00354B72" w:rsidRDefault="00354B72" w:rsidP="00354B72">
      <w:pPr>
        <w:pStyle w:val="Paragraphedeliste"/>
        <w:numPr>
          <w:ilvl w:val="0"/>
          <w:numId w:val="7"/>
        </w:numPr>
        <w:jc w:val="both"/>
      </w:pPr>
      <w:r>
        <w:t xml:space="preserve"> et 8 sont préparés localement (n</w:t>
      </w:r>
      <w:r w:rsidRPr="00CE5AE6">
        <w:rPr>
          <w:vertAlign w:val="subscript"/>
        </w:rPr>
        <w:t>3</w:t>
      </w:r>
      <w:r>
        <w:t xml:space="preserve">=8) </w:t>
      </w:r>
    </w:p>
    <w:p w14:paraId="1D50F349" w14:textId="77777777" w:rsidR="00354B72" w:rsidRDefault="00354B72" w:rsidP="00354B72">
      <w:pPr>
        <w:jc w:val="both"/>
      </w:pPr>
      <w:r>
        <w:lastRenderedPageBreak/>
        <w:t>La VD de l’étude est l’écart entre les calories annoncées et le vrai nombre de calories, exprimé en % :</w:t>
      </w:r>
    </w:p>
    <w:p w14:paraId="459208F7" w14:textId="77777777" w:rsidR="00354B72" w:rsidRDefault="00E71CBF" w:rsidP="00354B72">
      <w:pPr>
        <w:jc w:val="both"/>
      </w:pPr>
      <m:oMathPara>
        <m:oMath>
          <m:d>
            <m:dPr>
              <m:ctrlPr>
                <w:rPr>
                  <w:rFonts w:ascii="Cambria Math" w:hAnsi="Cambria Math"/>
                  <w:i/>
                </w:rPr>
              </m:ctrlPr>
            </m:dPr>
            <m:e>
              <m:f>
                <m:fPr>
                  <m:ctrlPr>
                    <w:rPr>
                      <w:rFonts w:ascii="Cambria Math" w:hAnsi="Cambria Math"/>
                      <w:i/>
                    </w:rPr>
                  </m:ctrlPr>
                </m:fPr>
                <m:num>
                  <m:r>
                    <w:rPr>
                      <w:rFonts w:ascii="Cambria Math" w:hAnsi="Cambria Math"/>
                    </w:rPr>
                    <m:t>vraies calories-calories annoncées</m:t>
                  </m:r>
                </m:num>
                <m:den>
                  <m:r>
                    <w:rPr>
                      <w:rFonts w:ascii="Cambria Math" w:hAnsi="Cambria Math"/>
                    </w:rPr>
                    <m:t>calories annoncées</m:t>
                  </m:r>
                </m:den>
              </m:f>
              <m:r>
                <w:rPr>
                  <w:rFonts w:ascii="Cambria Math" w:hAnsi="Cambria Math"/>
                </w:rPr>
                <m:t>×100</m:t>
              </m:r>
            </m:e>
          </m:d>
          <m:r>
            <w:rPr>
              <w:rFonts w:ascii="Cambria Math" w:hAnsi="Cambria Math"/>
            </w:rPr>
            <m:t>%</m:t>
          </m:r>
        </m:oMath>
      </m:oMathPara>
    </w:p>
    <w:p w14:paraId="0E6ED695" w14:textId="77777777" w:rsidR="00354B72" w:rsidRDefault="00354B72" w:rsidP="00354B72">
      <w:pPr>
        <w:jc w:val="both"/>
      </w:pPr>
      <w:r>
        <w:t>Ils ont déterminé le nombre de vraies calories en utilisant le calorimètre de Miller &amp; Payne (1959), et masquaient le nombre de calories annoncées aux évaluateurs pour éviter de les influencer. Et ils faisaient le test 2 fois par aliment, et s’ils obtenaient un écart supérieur à 0.03kcal entre deux essais, ils recommençaient une 3</w:t>
      </w:r>
      <w:r w:rsidRPr="007148F9">
        <w:rPr>
          <w:vertAlign w:val="superscript"/>
        </w:rPr>
        <w:t>ème</w:t>
      </w:r>
      <w:r>
        <w:t xml:space="preserve"> fois et se fiaient aux 2 mesures les plus proches. Ils ont obtenu une corrélation test-</w:t>
      </w:r>
      <w:proofErr w:type="spellStart"/>
      <w:r>
        <w:t>retest</w:t>
      </w:r>
      <w:proofErr w:type="spellEnd"/>
      <w:r>
        <w:t xml:space="preserve"> de .9992 (donc super fiable apparemment).</w:t>
      </w:r>
    </w:p>
    <w:p w14:paraId="4D2AC65A" w14:textId="77777777" w:rsidR="00354B72" w:rsidRPr="00664AB6" w:rsidRDefault="00354B72" w:rsidP="00354B72">
      <w:pPr>
        <w:jc w:val="both"/>
      </w:pPr>
      <w:r w:rsidRPr="00664AB6">
        <w:t>La FDA (Food and Drug Administration) autorise une erreur</w:t>
      </w:r>
      <w:r>
        <w:t xml:space="preserve"> de 20% mais en pratique, on constate que l’erreur dépasse parfois largement ces 20%. </w:t>
      </w:r>
    </w:p>
    <w:p w14:paraId="7D085BAF" w14:textId="77777777" w:rsidR="00354B72" w:rsidRDefault="00354B72" w:rsidP="00354B72">
      <w:pPr>
        <w:jc w:val="both"/>
      </w:pPr>
      <w:r>
        <w:t>Voici les descriptives trouvées</w:t>
      </w:r>
      <w:r>
        <w:rPr>
          <w:rStyle w:val="Appelnotedebasdep"/>
        </w:rPr>
        <w:footnoteReference w:id="2"/>
      </w:r>
      <w:r>
        <w:t> :</w:t>
      </w:r>
    </w:p>
    <w:tbl>
      <w:tblPr>
        <w:tblStyle w:val="Grilledutableau"/>
        <w:tblW w:w="8374" w:type="dxa"/>
        <w:jc w:val="center"/>
        <w:tblLook w:val="04A0" w:firstRow="1" w:lastRow="0" w:firstColumn="1" w:lastColumn="0" w:noHBand="0" w:noVBand="1"/>
      </w:tblPr>
      <w:tblGrid>
        <w:gridCol w:w="1191"/>
        <w:gridCol w:w="3954"/>
        <w:gridCol w:w="3229"/>
      </w:tblGrid>
      <w:tr w:rsidR="00354B72" w14:paraId="23B1C075" w14:textId="77777777" w:rsidTr="003C3A09">
        <w:trPr>
          <w:trHeight w:val="112"/>
          <w:jc w:val="center"/>
        </w:trPr>
        <w:tc>
          <w:tcPr>
            <w:tcW w:w="1191" w:type="dxa"/>
          </w:tcPr>
          <w:p w14:paraId="44B2457B" w14:textId="77777777" w:rsidR="00354B72" w:rsidRDefault="00354B72" w:rsidP="003C3A09">
            <w:pPr>
              <w:jc w:val="both"/>
            </w:pPr>
            <w:r>
              <w:t xml:space="preserve">Région : </w:t>
            </w:r>
          </w:p>
        </w:tc>
        <w:tc>
          <w:tcPr>
            <w:tcW w:w="3954" w:type="dxa"/>
          </w:tcPr>
          <w:p w14:paraId="062051BC" w14:textId="77777777" w:rsidR="00354B72" w:rsidRDefault="00354B72" w:rsidP="003C3A09">
            <w:pPr>
              <w:jc w:val="both"/>
            </w:pPr>
            <w:r>
              <w:t>Écart par « produit » : Moyenne(SD)</w:t>
            </w:r>
          </w:p>
        </w:tc>
        <w:tc>
          <w:tcPr>
            <w:tcW w:w="3229" w:type="dxa"/>
          </w:tcPr>
          <w:p w14:paraId="20EC48CE" w14:textId="77777777" w:rsidR="00354B72" w:rsidRDefault="00354B72" w:rsidP="003C3A09">
            <w:pPr>
              <w:jc w:val="both"/>
            </w:pPr>
            <w:r>
              <w:t>Écart par gramme : moyenne(SD)</w:t>
            </w:r>
          </w:p>
        </w:tc>
      </w:tr>
      <w:tr w:rsidR="00354B72" w14:paraId="57EB7636" w14:textId="77777777" w:rsidTr="003C3A09">
        <w:trPr>
          <w:trHeight w:val="238"/>
          <w:jc w:val="center"/>
        </w:trPr>
        <w:tc>
          <w:tcPr>
            <w:tcW w:w="1191" w:type="dxa"/>
          </w:tcPr>
          <w:p w14:paraId="75311620" w14:textId="77777777" w:rsidR="00354B72" w:rsidRDefault="00354B72" w:rsidP="003C3A09">
            <w:pPr>
              <w:jc w:val="both"/>
            </w:pPr>
            <w:r>
              <w:t>Local</w:t>
            </w:r>
          </w:p>
        </w:tc>
        <w:tc>
          <w:tcPr>
            <w:tcW w:w="3954" w:type="dxa"/>
          </w:tcPr>
          <w:p w14:paraId="772AD0B8" w14:textId="77777777" w:rsidR="00354B72" w:rsidRDefault="00354B72" w:rsidP="003C3A09">
            <w:pPr>
              <w:jc w:val="both"/>
            </w:pPr>
            <w:r>
              <w:t>85.42%(77.88%)</w:t>
            </w:r>
          </w:p>
        </w:tc>
        <w:tc>
          <w:tcPr>
            <w:tcW w:w="3229" w:type="dxa"/>
          </w:tcPr>
          <w:p w14:paraId="40960FDD" w14:textId="77777777" w:rsidR="00354B72" w:rsidRDefault="00354B72" w:rsidP="003C3A09">
            <w:pPr>
              <w:jc w:val="both"/>
            </w:pPr>
            <w:r>
              <w:t>Valeur non donnée</w:t>
            </w:r>
          </w:p>
        </w:tc>
      </w:tr>
      <w:tr w:rsidR="00354B72" w14:paraId="68A00661" w14:textId="77777777" w:rsidTr="003C3A09">
        <w:trPr>
          <w:trHeight w:val="250"/>
          <w:jc w:val="center"/>
        </w:trPr>
        <w:tc>
          <w:tcPr>
            <w:tcW w:w="1191" w:type="dxa"/>
          </w:tcPr>
          <w:p w14:paraId="7F22E927" w14:textId="77777777" w:rsidR="00354B72" w:rsidRDefault="00354B72" w:rsidP="003C3A09">
            <w:pPr>
              <w:jc w:val="both"/>
            </w:pPr>
            <w:r>
              <w:t>Régional</w:t>
            </w:r>
          </w:p>
        </w:tc>
        <w:tc>
          <w:tcPr>
            <w:tcW w:w="3954" w:type="dxa"/>
          </w:tcPr>
          <w:p w14:paraId="795780D0" w14:textId="77777777" w:rsidR="00354B72" w:rsidRDefault="00354B72" w:rsidP="003C3A09">
            <w:pPr>
              <w:jc w:val="both"/>
            </w:pPr>
            <w:r>
              <w:t>25.22%(15.58%)</w:t>
            </w:r>
          </w:p>
        </w:tc>
        <w:tc>
          <w:tcPr>
            <w:tcW w:w="3229" w:type="dxa"/>
          </w:tcPr>
          <w:p w14:paraId="2CF5B150" w14:textId="77777777" w:rsidR="00354B72" w:rsidRDefault="00354B72" w:rsidP="003C3A09">
            <w:pPr>
              <w:jc w:val="both"/>
            </w:pPr>
            <w:r>
              <w:t>14.97%(17.95%)</w:t>
            </w:r>
          </w:p>
        </w:tc>
      </w:tr>
      <w:tr w:rsidR="00354B72" w14:paraId="5E5817E7" w14:textId="77777777" w:rsidTr="003C3A09">
        <w:trPr>
          <w:trHeight w:val="238"/>
          <w:jc w:val="center"/>
        </w:trPr>
        <w:tc>
          <w:tcPr>
            <w:tcW w:w="1191" w:type="dxa"/>
          </w:tcPr>
          <w:p w14:paraId="5E21998B" w14:textId="77777777" w:rsidR="00354B72" w:rsidRDefault="00354B72" w:rsidP="003C3A09">
            <w:pPr>
              <w:jc w:val="both"/>
            </w:pPr>
            <w:r>
              <w:t>National</w:t>
            </w:r>
          </w:p>
        </w:tc>
        <w:tc>
          <w:tcPr>
            <w:tcW w:w="3954" w:type="dxa"/>
          </w:tcPr>
          <w:p w14:paraId="4A0C4F53" w14:textId="77777777" w:rsidR="00354B72" w:rsidRDefault="00354B72" w:rsidP="003C3A09">
            <w:pPr>
              <w:jc w:val="both"/>
            </w:pPr>
            <w:r>
              <w:t>2.18(13.93%)</w:t>
            </w:r>
          </w:p>
        </w:tc>
        <w:tc>
          <w:tcPr>
            <w:tcW w:w="3229" w:type="dxa"/>
          </w:tcPr>
          <w:p w14:paraId="554BF739" w14:textId="77777777" w:rsidR="00354B72" w:rsidRDefault="00354B72" w:rsidP="003C3A09">
            <w:pPr>
              <w:jc w:val="both"/>
            </w:pPr>
            <w:r>
              <w:t>0.01%(9.13%)</w:t>
            </w:r>
          </w:p>
        </w:tc>
      </w:tr>
    </w:tbl>
    <w:p w14:paraId="7499DCB8" w14:textId="77777777" w:rsidR="00354B72" w:rsidRDefault="00354B72" w:rsidP="00354B72">
      <w:pPr>
        <w:jc w:val="both"/>
      </w:pPr>
    </w:p>
    <w:p w14:paraId="4DB57CF3" w14:textId="77777777" w:rsidR="00354B72" w:rsidRDefault="00354B72" w:rsidP="00354B72">
      <w:pPr>
        <w:spacing w:after="0"/>
        <w:jc w:val="both"/>
      </w:pPr>
      <w:r>
        <w:t xml:space="preserve">Dans l’exemple de cette étude, à deux reprises, ils font l’erreur  d’interpréter un NRH0 comme une AH0 (et en plus, ils le font sur base de tests t, et ce malgré des violations flagrantes de plusieurs conditions comme ils le signalent eux même) : </w:t>
      </w:r>
    </w:p>
    <w:p w14:paraId="468744BA" w14:textId="77777777" w:rsidR="00354B72" w:rsidRDefault="00354B72" w:rsidP="00354B72">
      <w:pPr>
        <w:pStyle w:val="Paragraphedeliste"/>
        <w:numPr>
          <w:ilvl w:val="0"/>
          <w:numId w:val="8"/>
        </w:numPr>
        <w:jc w:val="both"/>
      </w:pPr>
      <w:r>
        <w:t xml:space="preserve">Ils utilisent plusieurs moyens de vérifier la fiabilité de la mesure « réelle » de calories. Parmi ces méthodes on retrouve ceci : en général, ils faisaient le test 2 fois par produit, et ils ont fait un test </w:t>
      </w:r>
      <w:r w:rsidRPr="00C73ED4">
        <w:rPr>
          <w:i/>
          <w:iCs/>
        </w:rPr>
        <w:t>t</w:t>
      </w:r>
      <w:r>
        <w:t xml:space="preserve"> pour échantillons dépendants (en bilatéral) : «</w:t>
      </w:r>
      <w:r w:rsidRPr="00C73ED4">
        <w:rPr>
          <w:b/>
          <w:bCs/>
        </w:rPr>
        <w:t xml:space="preserve"> the first and second </w:t>
      </w:r>
      <w:proofErr w:type="spellStart"/>
      <w:r w:rsidRPr="00C73ED4">
        <w:rPr>
          <w:b/>
          <w:bCs/>
        </w:rPr>
        <w:t>calorimetric</w:t>
      </w:r>
      <w:proofErr w:type="spellEnd"/>
      <w:r w:rsidRPr="00C73ED4">
        <w:rPr>
          <w:b/>
          <w:bCs/>
        </w:rPr>
        <w:t xml:space="preserve"> </w:t>
      </w:r>
      <w:proofErr w:type="spellStart"/>
      <w:r w:rsidRPr="00C73ED4">
        <w:rPr>
          <w:b/>
          <w:bCs/>
        </w:rPr>
        <w:t>measurements</w:t>
      </w:r>
      <w:proofErr w:type="spellEnd"/>
      <w:r w:rsidRPr="00C73ED4">
        <w:rPr>
          <w:b/>
          <w:bCs/>
        </w:rPr>
        <w:t xml:space="preserve"> for the duplicate </w:t>
      </w:r>
      <w:proofErr w:type="spellStart"/>
      <w:r w:rsidRPr="00C73ED4">
        <w:rPr>
          <w:b/>
          <w:bCs/>
        </w:rPr>
        <w:t>sample</w:t>
      </w:r>
      <w:proofErr w:type="spellEnd"/>
      <w:r w:rsidRPr="00C73ED4">
        <w:rPr>
          <w:b/>
          <w:bCs/>
        </w:rPr>
        <w:t xml:space="preserve"> </w:t>
      </w:r>
      <w:proofErr w:type="spellStart"/>
      <w:r w:rsidRPr="00C73ED4">
        <w:rPr>
          <w:b/>
          <w:bCs/>
        </w:rPr>
        <w:t>were</w:t>
      </w:r>
      <w:proofErr w:type="spellEnd"/>
      <w:r w:rsidRPr="00C73ED4">
        <w:rPr>
          <w:b/>
          <w:bCs/>
        </w:rPr>
        <w:t xml:space="preserve"> </w:t>
      </w:r>
      <w:proofErr w:type="spellStart"/>
      <w:r w:rsidRPr="00C73ED4">
        <w:rPr>
          <w:b/>
          <w:bCs/>
        </w:rPr>
        <w:t>tested</w:t>
      </w:r>
      <w:proofErr w:type="spellEnd"/>
      <w:r w:rsidRPr="00C73ED4">
        <w:rPr>
          <w:b/>
          <w:bCs/>
        </w:rPr>
        <w:t xml:space="preserve"> for </w:t>
      </w:r>
      <w:proofErr w:type="spellStart"/>
      <w:r w:rsidRPr="00C73ED4">
        <w:rPr>
          <w:b/>
          <w:bCs/>
        </w:rPr>
        <w:t>statistically</w:t>
      </w:r>
      <w:proofErr w:type="spellEnd"/>
      <w:r w:rsidRPr="00C73ED4">
        <w:rPr>
          <w:b/>
          <w:bCs/>
        </w:rPr>
        <w:t xml:space="preserve"> </w:t>
      </w:r>
      <w:proofErr w:type="spellStart"/>
      <w:r w:rsidRPr="00C73ED4">
        <w:rPr>
          <w:b/>
          <w:bCs/>
        </w:rPr>
        <w:t>significant</w:t>
      </w:r>
      <w:proofErr w:type="spellEnd"/>
      <w:r w:rsidRPr="00C73ED4">
        <w:rPr>
          <w:b/>
          <w:bCs/>
        </w:rPr>
        <w:t xml:space="preserve"> </w:t>
      </w:r>
      <w:proofErr w:type="spellStart"/>
      <w:r w:rsidRPr="00C73ED4">
        <w:rPr>
          <w:b/>
          <w:bCs/>
        </w:rPr>
        <w:t>mean</w:t>
      </w:r>
      <w:proofErr w:type="spellEnd"/>
      <w:r w:rsidRPr="00C73ED4">
        <w:rPr>
          <w:b/>
          <w:bCs/>
        </w:rPr>
        <w:t xml:space="preserve"> </w:t>
      </w:r>
      <w:proofErr w:type="spellStart"/>
      <w:r w:rsidRPr="00C73ED4">
        <w:rPr>
          <w:b/>
          <w:bCs/>
        </w:rPr>
        <w:t>differences</w:t>
      </w:r>
      <w:proofErr w:type="spellEnd"/>
      <w:r w:rsidRPr="00C73ED4">
        <w:rPr>
          <w:b/>
          <w:bCs/>
        </w:rPr>
        <w:t xml:space="preserve"> by </w:t>
      </w:r>
      <w:proofErr w:type="spellStart"/>
      <w:r w:rsidRPr="00C73ED4">
        <w:rPr>
          <w:b/>
          <w:bCs/>
        </w:rPr>
        <w:t>using</w:t>
      </w:r>
      <w:proofErr w:type="spellEnd"/>
      <w:r w:rsidRPr="00C73ED4">
        <w:rPr>
          <w:b/>
          <w:bCs/>
        </w:rPr>
        <w:t xml:space="preserve"> a </w:t>
      </w:r>
      <w:proofErr w:type="spellStart"/>
      <w:r w:rsidRPr="00C73ED4">
        <w:rPr>
          <w:b/>
          <w:bCs/>
        </w:rPr>
        <w:t>dependent-samples</w:t>
      </w:r>
      <w:proofErr w:type="spellEnd"/>
      <w:r w:rsidRPr="00C73ED4">
        <w:rPr>
          <w:b/>
          <w:bCs/>
        </w:rPr>
        <w:t xml:space="preserve"> </w:t>
      </w:r>
      <w:proofErr w:type="spellStart"/>
      <w:r w:rsidRPr="00C73ED4">
        <w:rPr>
          <w:b/>
          <w:bCs/>
        </w:rPr>
        <w:t>two-tailed</w:t>
      </w:r>
      <w:proofErr w:type="spellEnd"/>
      <w:r w:rsidRPr="00C73ED4">
        <w:rPr>
          <w:b/>
          <w:bCs/>
        </w:rPr>
        <w:t xml:space="preserve"> t test. </w:t>
      </w:r>
      <w:r w:rsidRPr="00C73ED4">
        <w:rPr>
          <w:b/>
          <w:bCs/>
          <w:lang w:val="en-US"/>
        </w:rPr>
        <w:t>The mean caloric measurement was 944 (SD=731.9) for trial 1 and 942.7 (SD=730.3) for trial 2 (t=0.31; df=39;p=.76)</w:t>
      </w:r>
      <w:r w:rsidRPr="00C73ED4">
        <w:rPr>
          <w:lang w:val="en-US"/>
        </w:rPr>
        <w:t xml:space="preserve">». </w:t>
      </w:r>
      <w:r>
        <w:t xml:space="preserve">Heureusement, ce n’était pas la seule méthode sur laquelle ils se fiaient pour montrer la fiabilité de la méthode (ils ont aussi calculé une corrélation très </w:t>
      </w:r>
      <w:proofErr w:type="spellStart"/>
      <w:r>
        <w:t>très</w:t>
      </w:r>
      <w:proofErr w:type="spellEnd"/>
      <w:r>
        <w:t xml:space="preserve"> proche de 1 entre les 2 essais).   </w:t>
      </w:r>
    </w:p>
    <w:p w14:paraId="4E64743A" w14:textId="77777777" w:rsidR="00354B72" w:rsidRPr="00A50C41" w:rsidRDefault="00354B72" w:rsidP="00354B72">
      <w:pPr>
        <w:pStyle w:val="Paragraphedeliste"/>
        <w:numPr>
          <w:ilvl w:val="0"/>
          <w:numId w:val="8"/>
        </w:numPr>
        <w:jc w:val="both"/>
      </w:pPr>
      <w:r>
        <w:t>Ils expliquent que pour les produits nationaux, il n’y avait pas de différence significative entre les calories annoncées et les calories réelles (en posant comme hypothèse nulle une absence de différence entre les deux) et concluent que « </w:t>
      </w:r>
      <w:proofErr w:type="spellStart"/>
      <w:r w:rsidRPr="006E7170">
        <w:rPr>
          <w:b/>
          <w:bCs/>
        </w:rPr>
        <w:t>nationally</w:t>
      </w:r>
      <w:proofErr w:type="spellEnd"/>
      <w:r w:rsidRPr="006E7170">
        <w:rPr>
          <w:b/>
          <w:bCs/>
        </w:rPr>
        <w:t xml:space="preserve"> </w:t>
      </w:r>
      <w:proofErr w:type="spellStart"/>
      <w:r w:rsidRPr="006E7170">
        <w:rPr>
          <w:b/>
          <w:bCs/>
        </w:rPr>
        <w:t>advertised</w:t>
      </w:r>
      <w:proofErr w:type="spellEnd"/>
      <w:r w:rsidRPr="006E7170">
        <w:rPr>
          <w:b/>
          <w:bCs/>
        </w:rPr>
        <w:t xml:space="preserve"> </w:t>
      </w:r>
      <w:proofErr w:type="spellStart"/>
      <w:r w:rsidRPr="006E7170">
        <w:rPr>
          <w:b/>
          <w:bCs/>
        </w:rPr>
        <w:t>food</w:t>
      </w:r>
      <w:proofErr w:type="spellEnd"/>
      <w:r w:rsidRPr="006E7170">
        <w:rPr>
          <w:b/>
          <w:bCs/>
        </w:rPr>
        <w:t xml:space="preserve"> items </w:t>
      </w:r>
      <w:proofErr w:type="spellStart"/>
      <w:r w:rsidRPr="006E7170">
        <w:rPr>
          <w:b/>
          <w:bCs/>
        </w:rPr>
        <w:t>were</w:t>
      </w:r>
      <w:proofErr w:type="spellEnd"/>
      <w:r w:rsidRPr="006E7170">
        <w:rPr>
          <w:b/>
          <w:bCs/>
        </w:rPr>
        <w:t xml:space="preserve"> </w:t>
      </w:r>
      <w:proofErr w:type="spellStart"/>
      <w:r w:rsidRPr="006E7170">
        <w:rPr>
          <w:b/>
          <w:bCs/>
        </w:rPr>
        <w:t>quite</w:t>
      </w:r>
      <w:proofErr w:type="spellEnd"/>
      <w:r w:rsidRPr="006E7170">
        <w:rPr>
          <w:b/>
          <w:bCs/>
        </w:rPr>
        <w:t xml:space="preserve"> </w:t>
      </w:r>
      <w:proofErr w:type="spellStart"/>
      <w:r w:rsidRPr="006E7170">
        <w:rPr>
          <w:b/>
          <w:bCs/>
        </w:rPr>
        <w:t>accurate</w:t>
      </w:r>
      <w:proofErr w:type="spellEnd"/>
      <w:r>
        <w:t xml:space="preserve"> ». </w:t>
      </w:r>
      <w:r>
        <w:sym w:font="Wingdings" w:char="F0E0"/>
      </w:r>
      <w:r>
        <w:t xml:space="preserve"> Encore la même erreur ! C’est d’autant plus flashant qu’avec seulement 20 produits, la puissance du test est certainement très faible… </w:t>
      </w:r>
    </w:p>
    <w:p w14:paraId="04E1430D" w14:textId="77777777" w:rsidR="00354B72" w:rsidRDefault="00354B72" w:rsidP="00354B72"/>
    <w:p w14:paraId="7713F898" w14:textId="77777777" w:rsidR="003F067A" w:rsidRDefault="003F067A">
      <w:pPr>
        <w:rPr>
          <w:rFonts w:asciiTheme="majorHAnsi" w:eastAsiaTheme="majorEastAsia" w:hAnsiTheme="majorHAnsi" w:cstheme="majorBidi"/>
          <w:color w:val="2F5496" w:themeColor="accent1" w:themeShade="BF"/>
          <w:sz w:val="26"/>
          <w:szCs w:val="26"/>
        </w:rPr>
      </w:pPr>
      <w:r>
        <w:br w:type="page"/>
      </w:r>
    </w:p>
    <w:p w14:paraId="1003B23C" w14:textId="5EEAF709" w:rsidR="00354B72" w:rsidRPr="00354B72" w:rsidRDefault="00354B72" w:rsidP="00354B72">
      <w:pPr>
        <w:pStyle w:val="Titre2"/>
        <w:numPr>
          <w:ilvl w:val="0"/>
          <w:numId w:val="1"/>
        </w:numPr>
      </w:pPr>
      <w:r>
        <w:lastRenderedPageBreak/>
        <w:t>Exemple méthodologique de contexte où l’on tente de montrer une absence de différence sur base d’un non-rejet de l’hypothèse nulle</w:t>
      </w:r>
    </w:p>
    <w:p w14:paraId="0014A2D5" w14:textId="750FBF6E" w:rsidR="00A50C41" w:rsidRDefault="002B2A3F" w:rsidP="00E925B9">
      <w:pPr>
        <w:spacing w:after="0"/>
        <w:jc w:val="both"/>
      </w:pPr>
      <w:r>
        <w:t xml:space="preserve"> </w:t>
      </w:r>
      <w:r w:rsidR="00E925B9">
        <w:t xml:space="preserve"> </w:t>
      </w:r>
    </w:p>
    <w:p w14:paraId="782FD592" w14:textId="7B43951B" w:rsidR="00354B72" w:rsidRDefault="00354B72" w:rsidP="00E925B9">
      <w:pPr>
        <w:spacing w:after="0"/>
        <w:jc w:val="both"/>
      </w:pPr>
      <w:r>
        <w:t>Bien sûr, il y a la traditionnelle vérification des conditions d’application.</w:t>
      </w:r>
    </w:p>
    <w:p w14:paraId="6ABC1C73" w14:textId="77777777" w:rsidR="00354B72" w:rsidRDefault="00354B72" w:rsidP="00E925B9">
      <w:pPr>
        <w:spacing w:after="0"/>
        <w:jc w:val="both"/>
      </w:pPr>
    </w:p>
    <w:p w14:paraId="15219567" w14:textId="481D88FC" w:rsidR="00354B72" w:rsidRDefault="00354B72" w:rsidP="00E925B9">
      <w:pPr>
        <w:spacing w:after="0"/>
        <w:jc w:val="both"/>
        <w:rPr>
          <w:rFonts w:eastAsiaTheme="minorEastAsia"/>
        </w:rPr>
      </w:pPr>
      <w:r>
        <w:t xml:space="preserve">Mais aussi, en méta-analyses quand on tente d’étudier un effet donné, on tente parfois de voir s’il existe des variations dans les mesures analysées qui dépassent l’erreur de mesure, en calculant </w:t>
      </w:r>
      <m:oMath>
        <m:sSub>
          <m:sSubPr>
            <m:ctrlPr>
              <w:rPr>
                <w:rFonts w:ascii="Cambria Math" w:hAnsi="Cambria Math"/>
                <w:i/>
              </w:rPr>
            </m:ctrlPr>
          </m:sSubPr>
          <m:e>
            <m:r>
              <w:rPr>
                <w:rFonts w:ascii="Cambria Math" w:hAnsi="Cambria Math"/>
              </w:rPr>
              <m:t>σ</m:t>
            </m:r>
          </m:e>
          <m:sub>
            <m:r>
              <w:rPr>
                <w:rFonts w:ascii="Cambria Math" w:hAnsi="Cambria Math"/>
              </w:rPr>
              <m:t>δ</m:t>
            </m:r>
          </m:sub>
        </m:sSub>
      </m:oMath>
      <w:r>
        <w:rPr>
          <w:rFonts w:eastAsiaTheme="minorEastAsia"/>
        </w:rPr>
        <w:t xml:space="preserve"> (voir le point sur les tailles d’effet hétérogène de Judd pour comprendre ce concept). Pour ce faire, on utilise le test chi-carré d’homogénéité (symbolisé Q de Cochran). </w:t>
      </w:r>
      <w:r w:rsidRPr="00354B72">
        <w:rPr>
          <w:rFonts w:eastAsiaTheme="minorEastAsia"/>
        </w:rPr>
        <w:sym w:font="Wingdings" w:char="F0E0"/>
      </w:r>
      <w:r>
        <w:rPr>
          <w:rFonts w:eastAsiaTheme="minorEastAsia"/>
        </w:rPr>
        <w:t xml:space="preserve"> </w:t>
      </w:r>
      <w:r w:rsidRPr="00BD0192">
        <w:rPr>
          <w:rFonts w:eastAsiaTheme="minorEastAsia"/>
          <w:color w:val="FF0000"/>
        </w:rPr>
        <w:t xml:space="preserve">Lire article de Cochran (1954) que j’ai mis dans la section </w:t>
      </w:r>
      <w:r w:rsidR="00BD0192" w:rsidRPr="00BD0192">
        <w:rPr>
          <w:rFonts w:eastAsiaTheme="minorEastAsia"/>
          <w:color w:val="FF0000"/>
        </w:rPr>
        <w:t>sur l’hétérogénéité des tailles d’effet</w:t>
      </w:r>
      <w:r w:rsidR="00BD0192">
        <w:rPr>
          <w:rFonts w:eastAsiaTheme="minorEastAsia"/>
          <w:color w:val="FF0000"/>
        </w:rPr>
        <w:t xml:space="preserve"> pour voir s’ils l’interprètent parfois en AH0 (mais vu son nom, je dirais que oui </w:t>
      </w:r>
      <w:r w:rsidR="00BD0192" w:rsidRPr="00BD0192">
        <w:rPr>
          <mc:AlternateContent>
            <mc:Choice Requires="w16se">
              <w:rFonts w:eastAsiaTheme="minorEastAsia"/>
            </mc:Choice>
            <mc:Fallback>
              <w:rFonts w:ascii="Segoe UI Emoji" w:eastAsia="Segoe UI Emoji" w:hAnsi="Segoe UI Emoji" w:cs="Segoe UI Emoji"/>
            </mc:Fallback>
          </mc:AlternateContent>
          <w:color w:val="FF0000"/>
        </w:rPr>
        <mc:AlternateContent>
          <mc:Choice Requires="w16se">
            <w16se:symEx w16se:font="Segoe UI Emoji" w16se:char="1F60A"/>
          </mc:Choice>
          <mc:Fallback>
            <w:t>😊</w:t>
          </mc:Fallback>
        </mc:AlternateContent>
      </w:r>
      <w:r w:rsidR="00BD0192">
        <w:rPr>
          <w:rFonts w:eastAsiaTheme="minorEastAsia"/>
          <w:color w:val="FF0000"/>
        </w:rPr>
        <w:t xml:space="preserve"> )</w:t>
      </w:r>
      <w:r w:rsidR="00BD0192" w:rsidRPr="00BD0192">
        <w:rPr>
          <w:rFonts w:eastAsiaTheme="minorEastAsia"/>
          <w:color w:val="FF0000"/>
        </w:rPr>
        <w:t>.</w:t>
      </w:r>
    </w:p>
    <w:p w14:paraId="6857617B" w14:textId="77777777" w:rsidR="00354B72" w:rsidRDefault="00354B72" w:rsidP="00E925B9">
      <w:pPr>
        <w:spacing w:after="0"/>
        <w:jc w:val="both"/>
      </w:pPr>
    </w:p>
    <w:p w14:paraId="1049F41C" w14:textId="4081ABE6" w:rsidR="00146669" w:rsidRDefault="00146669" w:rsidP="00A6663E">
      <w:pPr>
        <w:pStyle w:val="Titre2"/>
        <w:numPr>
          <w:ilvl w:val="0"/>
          <w:numId w:val="1"/>
        </w:numPr>
      </w:pPr>
      <w:r>
        <w:t>Exemple concret d’étude où une petite taille d’effet a un intérêt pratique</w:t>
      </w:r>
    </w:p>
    <w:p w14:paraId="00FA5052" w14:textId="2B4E59AD" w:rsidR="00146669" w:rsidRDefault="00146669" w:rsidP="00146669"/>
    <w:p w14:paraId="4686694D" w14:textId="54A0FDE6" w:rsidR="00256C19" w:rsidRPr="00256C19" w:rsidRDefault="00146669" w:rsidP="00256C19">
      <w:r w:rsidRPr="00146669">
        <w:rPr>
          <w:b/>
          <w:bCs/>
        </w:rPr>
        <w:t xml:space="preserve">Ex. de </w:t>
      </w:r>
      <w:proofErr w:type="spellStart"/>
      <w:r w:rsidRPr="00146669">
        <w:rPr>
          <w:b/>
          <w:bCs/>
        </w:rPr>
        <w:t>Pek</w:t>
      </w:r>
      <w:proofErr w:type="spellEnd"/>
      <w:r w:rsidRPr="00146669">
        <w:rPr>
          <w:b/>
          <w:bCs/>
        </w:rPr>
        <w:t xml:space="preserve"> et Flora</w:t>
      </w:r>
      <w:r>
        <w:t xml:space="preserve"> : Imaginons qu’une thérapie contre l’anxiété permette à des coureurs de réduire leur temps de course de quelques millisecondes. Cette toute petite différence pourrait les faire monter sur le podium face à des compétiteurs de même niveau (donc grand intérêt pratique). </w:t>
      </w:r>
      <w:r w:rsidR="00134B52">
        <w:t xml:space="preserve"> </w:t>
      </w:r>
    </w:p>
    <w:p w14:paraId="6F7E4178" w14:textId="79F5DE9C" w:rsidR="00CF449C" w:rsidRDefault="00016A4F" w:rsidP="00A6663E">
      <w:pPr>
        <w:pStyle w:val="Titre2"/>
        <w:numPr>
          <w:ilvl w:val="0"/>
          <w:numId w:val="1"/>
        </w:numPr>
      </w:pPr>
      <w:r>
        <w:t xml:space="preserve">Relire les taille d’effet hétérogène de </w:t>
      </w:r>
      <w:proofErr w:type="spellStart"/>
      <w:r>
        <w:t>Judd</w:t>
      </w:r>
      <w:proofErr w:type="spellEnd"/>
      <w:r>
        <w:t xml:space="preserve"> (pour </w:t>
      </w:r>
      <w:proofErr w:type="spellStart"/>
      <w:r>
        <w:t>Yzerbit</w:t>
      </w:r>
      <w:proofErr w:type="spellEnd"/>
      <w:r>
        <w:t>)</w:t>
      </w:r>
    </w:p>
    <w:p w14:paraId="6869EE72" w14:textId="77777777" w:rsidR="003357FB" w:rsidRPr="003357FB" w:rsidRDefault="003357FB" w:rsidP="003357FB"/>
    <w:p w14:paraId="55FC224D" w14:textId="37819CC9" w:rsidR="002C0B87" w:rsidRDefault="00D21199" w:rsidP="00016A4F">
      <w:r>
        <w:t>Quand on réplique plusieurs études sur le même effet, on observe souvent des variations dans les estimations de taille d’effet qui dépassent la simple erreur d’échantillonnage (ce sont plus que des variations aléatoires</w:t>
      </w:r>
      <w:r w:rsidR="002A1613">
        <w:t> ; en moyenne, l’hétérogénéité serait trois fois plus grande que celle due à l’erreur d’échantillonnage, d’après Stanley et al. 2018</w:t>
      </w:r>
      <w:r>
        <w:t xml:space="preserve">) </w:t>
      </w:r>
      <w:r>
        <w:sym w:font="Wingdings" w:char="F0E0"/>
      </w:r>
      <w:r>
        <w:t xml:space="preserve"> on conclut aux tailles d’effet hétérogènes à travers les études</w:t>
      </w:r>
      <w:r w:rsidR="001B16F5">
        <w:t xml:space="preserve"> (même dans les réplications directes)</w:t>
      </w:r>
      <w:r>
        <w:t>.</w:t>
      </w:r>
      <w:r w:rsidR="001B16F5">
        <w:t xml:space="preserve"> </w:t>
      </w:r>
      <w:r w:rsidR="00C158AA">
        <w:t xml:space="preserve"> </w:t>
      </w:r>
    </w:p>
    <w:p w14:paraId="0268A264" w14:textId="2B940A35" w:rsidR="0067452E" w:rsidRDefault="0067452E" w:rsidP="00016A4F">
      <w:r>
        <w:t>Cela a pour conséquence d’augmenter le taux d’erreur de type I</w:t>
      </w:r>
      <w:r w:rsidR="00FC280B">
        <w:t xml:space="preserve"> relatif à l’hypothèse d’après laquelle la moyenne de la population de taille d’effet diffère de 0. </w:t>
      </w:r>
    </w:p>
    <w:p w14:paraId="7D53A092" w14:textId="710AADAC" w:rsidR="00016A4F" w:rsidRDefault="002C0B87" w:rsidP="00016A4F">
      <w:r w:rsidRPr="002C0B87">
        <w:rPr>
          <w:b/>
          <w:bCs/>
        </w:rPr>
        <w:t>Solution</w:t>
      </w:r>
      <w:r>
        <w:t> : estimer l</w:t>
      </w:r>
      <w:r w:rsidR="002A4353">
        <w:t>e VRAI écart-type</w:t>
      </w:r>
      <w:r>
        <w:t xml:space="preserve"> de la mesure de taille d’effet (ex. : </w:t>
      </w:r>
      <m:oMath>
        <m:sSub>
          <m:sSubPr>
            <m:ctrlPr>
              <w:rPr>
                <w:rFonts w:ascii="Cambria Math" w:hAnsi="Cambria Math"/>
                <w:i/>
              </w:rPr>
            </m:ctrlPr>
          </m:sSubPr>
          <m:e>
            <m:r>
              <w:rPr>
                <w:rFonts w:ascii="Cambria Math" w:hAnsi="Cambria Math"/>
              </w:rPr>
              <m:t>σ</m:t>
            </m:r>
          </m:e>
          <m:sub>
            <m:r>
              <w:rPr>
                <w:rFonts w:ascii="Cambria Math" w:hAnsi="Cambria Math"/>
              </w:rPr>
              <m:t>δ</m:t>
            </m:r>
          </m:sub>
        </m:sSub>
      </m:oMath>
      <w:r>
        <w:rPr>
          <w:rFonts w:eastAsiaTheme="minorEastAsia"/>
        </w:rPr>
        <w:t>= l’écart-type de la mesure Cohen’s d</w:t>
      </w:r>
      <w:r w:rsidR="002A4353">
        <w:rPr>
          <w:rFonts w:eastAsiaTheme="minorEastAsia"/>
        </w:rPr>
        <w:t xml:space="preserve"> APRES avoir supprimé l’effet de l’erreur d’échantillonnage</w:t>
      </w:r>
      <w:r w:rsidR="00224257">
        <w:rPr>
          <w:rStyle w:val="Appelnotedebasdep"/>
          <w:rFonts w:eastAsiaTheme="minorEastAsia"/>
        </w:rPr>
        <w:footnoteReference w:id="3"/>
      </w:r>
      <w:r w:rsidR="002A4353">
        <w:rPr>
          <w:rFonts w:eastAsiaTheme="minorEastAsia"/>
        </w:rPr>
        <w:t xml:space="preserve"> ; par opposition à </w:t>
      </w:r>
      <m:oMath>
        <m:sSub>
          <m:sSubPr>
            <m:ctrlPr>
              <w:rPr>
                <w:rFonts w:ascii="Cambria Math" w:hAnsi="Cambria Math"/>
                <w:i/>
              </w:rPr>
            </m:ctrlPr>
          </m:sSubPr>
          <m:e>
            <m:r>
              <w:rPr>
                <w:rFonts w:ascii="Cambria Math" w:hAnsi="Cambria Math"/>
              </w:rPr>
              <m:t>σ</m:t>
            </m:r>
          </m:e>
          <m:sub>
            <m:r>
              <w:rPr>
                <w:rFonts w:ascii="Cambria Math" w:hAnsi="Cambria Math"/>
              </w:rPr>
              <m:t>d</m:t>
            </m:r>
          </m:sub>
        </m:sSub>
      </m:oMath>
      <w:r w:rsidR="002A4353">
        <w:rPr>
          <w:rFonts w:eastAsiaTheme="minorEastAsia"/>
        </w:rPr>
        <w:t xml:space="preserve"> qui est l’erreur standard</w:t>
      </w:r>
      <w:r>
        <w:rPr>
          <w:rFonts w:eastAsiaTheme="minorEastAsia"/>
        </w:rPr>
        <w:t>)</w:t>
      </w:r>
      <w:r w:rsidR="00712C5D">
        <w:rPr>
          <w:rStyle w:val="Appelnotedebasdep"/>
          <w:rFonts w:eastAsiaTheme="minorEastAsia"/>
        </w:rPr>
        <w:footnoteReference w:id="4"/>
      </w:r>
      <w:r>
        <w:rPr>
          <w:rFonts w:eastAsiaTheme="minorEastAsia"/>
        </w:rPr>
        <w:t>.</w:t>
      </w:r>
      <w:r w:rsidR="00D21199">
        <w:t xml:space="preserve"> </w:t>
      </w:r>
    </w:p>
    <w:p w14:paraId="41B595F2" w14:textId="37666F64" w:rsidR="00712C5D" w:rsidRDefault="00712C5D" w:rsidP="00016A4F">
      <w:r>
        <w:t xml:space="preserve">A quoi serait </w:t>
      </w:r>
      <w:proofErr w:type="spellStart"/>
      <w:r>
        <w:t>dûe</w:t>
      </w:r>
      <w:proofErr w:type="spellEnd"/>
      <w:r>
        <w:t xml:space="preserve"> l’hétérogénéité ?</w:t>
      </w:r>
    </w:p>
    <w:p w14:paraId="6FCC22DF" w14:textId="241C779E" w:rsidR="00712C5D" w:rsidRDefault="00712C5D" w:rsidP="00712C5D">
      <w:pPr>
        <w:pStyle w:val="Paragraphedeliste"/>
        <w:numPr>
          <w:ilvl w:val="0"/>
          <w:numId w:val="2"/>
        </w:numPr>
      </w:pPr>
      <w:r>
        <w:t xml:space="preserve">À des modérateurs cachés (variations dans les expérimentateurs, participants, histoire, place, etc.) </w:t>
      </w:r>
    </w:p>
    <w:p w14:paraId="7325B3C6" w14:textId="792D30CC" w:rsidR="00E94E4A" w:rsidRDefault="00E94E4A" w:rsidP="00712C5D">
      <w:pPr>
        <w:pStyle w:val="Paragraphedeliste"/>
        <w:numPr>
          <w:ilvl w:val="0"/>
          <w:numId w:val="2"/>
        </w:numPr>
      </w:pPr>
      <w:r>
        <w:t>Des variations aléatoires (en fait il est impossible d’anticiper tous les modérateurs et donc il restera tj de l’hétérogénéité)</w:t>
      </w:r>
      <w:r w:rsidR="00323E83">
        <w:t xml:space="preserve"> </w:t>
      </w:r>
    </w:p>
    <w:p w14:paraId="79755158" w14:textId="70A2CBD4" w:rsidR="00B64304" w:rsidRDefault="00B64304" w:rsidP="00B64304">
      <w:r>
        <w:t xml:space="preserve">Vincent proposait d’envisager d’étudier la distribution des tailles d’effet plutôt que la tendance centrale via le TOST. Lire article de </w:t>
      </w:r>
      <w:proofErr w:type="spellStart"/>
      <w:r>
        <w:t>Hedges</w:t>
      </w:r>
      <w:proofErr w:type="spellEnd"/>
      <w:r>
        <w:t xml:space="preserve"> &amp; </w:t>
      </w:r>
      <w:proofErr w:type="spellStart"/>
      <w:r>
        <w:t>Vevea</w:t>
      </w:r>
      <w:proofErr w:type="spellEnd"/>
      <w:r>
        <w:t xml:space="preserve"> (1998) pour comprendre un peu l’idée</w:t>
      </w:r>
      <w:r w:rsidR="00423F2A">
        <w:t xml:space="preserve"> si j’ai le temps</w:t>
      </w:r>
      <w:r>
        <w:t xml:space="preserve">. </w:t>
      </w:r>
    </w:p>
    <w:p w14:paraId="2FBFFBE2" w14:textId="09136D50" w:rsidR="003357FB" w:rsidRDefault="003357FB" w:rsidP="00712B40">
      <w:pPr>
        <w:pStyle w:val="Titre2"/>
        <w:numPr>
          <w:ilvl w:val="0"/>
          <w:numId w:val="1"/>
        </w:numPr>
        <w:jc w:val="both"/>
      </w:pPr>
      <w:r>
        <w:lastRenderedPageBreak/>
        <w:t>Ok on observe des SDR différents de 1 dans la littérature, mais est-ce que les estimations de SDR faites sur base de la littérature s’écartent suffisamment de 1 :1 pour dire que ce n’est pas dû à l’erreur d’échantillonnage uniquement ?</w:t>
      </w:r>
    </w:p>
    <w:p w14:paraId="495540B2" w14:textId="54FF2A14" w:rsidR="000D101E" w:rsidRDefault="000D101E" w:rsidP="000D101E"/>
    <w:p w14:paraId="40FAAE9B" w14:textId="77777777" w:rsidR="000D101E" w:rsidRDefault="000D101E" w:rsidP="000D101E">
      <w:pPr>
        <w:jc w:val="both"/>
      </w:pPr>
      <w:r w:rsidRPr="00761031">
        <w:t xml:space="preserve">Lire article de </w:t>
      </w:r>
      <w:proofErr w:type="spellStart"/>
      <w:r w:rsidRPr="00761031">
        <w:t>Ruscio</w:t>
      </w:r>
      <w:proofErr w:type="spellEnd"/>
      <w:r w:rsidRPr="00761031">
        <w:t xml:space="preserve"> &amp; Roche (2011) : ils ont analysé un lot de 455 articles (en n’étudiant que la première étude à chaque fois)</w:t>
      </w:r>
      <w:r>
        <w:t xml:space="preserve">, publiés dans 9 journaux de l’APA (incluant des journaux de neuropsycho, de psychologie de la santé, de psycho expérimentale, de psycho clinique, de psycho sociale, etc.). Pour chaque étude ils enregistraient entre autres le nombre de groupes, le nombre de sujets, les moyennes et écart-types de chaque groupe, ainsi que si l’étude était expérimentale (= attribution aléatoire au sein des groupes) ou corrélationnelle. </w:t>
      </w:r>
    </w:p>
    <w:p w14:paraId="6C0950D0" w14:textId="77777777" w:rsidR="000D101E" w:rsidRDefault="000D101E" w:rsidP="000D101E">
      <w:pPr>
        <w:jc w:val="both"/>
      </w:pPr>
      <w:r>
        <w:t xml:space="preserve">Pour chaque étude, ils ont mesuré l’hétéroscédasticité de trois manières distinctes : </w:t>
      </w:r>
    </w:p>
    <w:p w14:paraId="3C6E39F8" w14:textId="77777777" w:rsidR="000D101E" w:rsidRDefault="000D101E" w:rsidP="000D101E">
      <w:pPr>
        <w:pStyle w:val="Paragraphedeliste"/>
        <w:numPr>
          <w:ilvl w:val="0"/>
          <w:numId w:val="12"/>
        </w:numPr>
        <w:jc w:val="both"/>
      </w:pPr>
      <w:r>
        <w:t xml:space="preserve">Le ratio de variances </w:t>
      </w:r>
      <m:oMath>
        <m:d>
          <m:dPr>
            <m:ctrlPr>
              <w:rPr>
                <w:rFonts w:ascii="Cambria Math" w:hAnsi="Cambria Math"/>
                <w:i/>
              </w:rPr>
            </m:ctrlPr>
          </m:dPr>
          <m:e>
            <m:f>
              <m:fPr>
                <m:ctrlPr>
                  <w:rPr>
                    <w:rFonts w:ascii="Cambria Math" w:hAnsi="Cambria Math"/>
                    <w:i/>
                  </w:rPr>
                </m:ctrlPr>
              </m:fPr>
              <m:num>
                <m:r>
                  <m:rPr>
                    <m:sty m:val="p"/>
                  </m:rPr>
                  <w:rPr>
                    <w:rFonts w:ascii="Cambria Math" w:hAnsi="Cambria Math"/>
                  </w:rPr>
                  <m:t>max⁡</m:t>
                </m:r>
                <m:r>
                  <w:rPr>
                    <w:rFonts w:ascii="Cambria Math" w:hAnsi="Cambria Math"/>
                  </w:rPr>
                  <m:t>(var)</m:t>
                </m:r>
              </m:num>
              <m:den>
                <m:r>
                  <m:rPr>
                    <m:sty m:val="p"/>
                  </m:rPr>
                  <w:rPr>
                    <w:rFonts w:ascii="Cambria Math" w:hAnsi="Cambria Math"/>
                  </w:rPr>
                  <m:t>min⁡</m:t>
                </m:r>
                <m:r>
                  <w:rPr>
                    <w:rFonts w:ascii="Cambria Math" w:hAnsi="Cambria Math"/>
                  </w:rPr>
                  <m:t>(var)</m:t>
                </m:r>
              </m:den>
            </m:f>
          </m:e>
        </m:d>
      </m:oMath>
      <w:r>
        <w:t xml:space="preserve"> </w:t>
      </w:r>
    </w:p>
    <w:p w14:paraId="6BB2A30D" w14:textId="77777777" w:rsidR="000D101E" w:rsidRDefault="000D101E" w:rsidP="000D101E">
      <w:pPr>
        <w:pStyle w:val="Paragraphedeliste"/>
        <w:numPr>
          <w:ilvl w:val="0"/>
          <w:numId w:val="12"/>
        </w:numPr>
        <w:jc w:val="both"/>
      </w:pPr>
      <w:r>
        <w:t xml:space="preserve">Le CVV = on calcule la somme d’écart de la variance de chaque groupe par rapport à la variance </w:t>
      </w:r>
      <w:proofErr w:type="spellStart"/>
      <w:r>
        <w:t>poolée</w:t>
      </w:r>
      <w:proofErr w:type="spellEnd"/>
      <w:r>
        <w:t>, somme pondérée en fonction de la taille des groupes.</w:t>
      </w:r>
    </w:p>
    <w:p w14:paraId="3F262042" w14:textId="77777777" w:rsidR="000D101E" w:rsidRPr="00824503" w:rsidRDefault="000D101E" w:rsidP="000D101E">
      <w:pPr>
        <w:ind w:left="360"/>
        <w:jc w:val="both"/>
      </w:pPr>
      <w:r>
        <w:t xml:space="preserve">Ex. pour deux groupes : </w:t>
      </w:r>
      <m:oMath>
        <m:f>
          <m:fPr>
            <m:ctrlPr>
              <w:rPr>
                <w:rFonts w:ascii="Cambria Math" w:hAnsi="Cambria Math"/>
                <w:i/>
              </w:rPr>
            </m:ctrlPr>
          </m:fPr>
          <m:num>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-1</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2</m:t>
                            </m:r>
                          </m:sup>
                        </m:sSubSup>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-1</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2</m:t>
                            </m:r>
                          </m:sup>
                        </m:sSubSup>
                      </m:e>
                    </m:d>
                  </m:num>
                  <m:den>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-2</m:t>
                    </m:r>
                  </m:den>
                </m:f>
              </m:e>
            </m:rad>
          </m:num>
          <m:den>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2</m:t>
                </m:r>
              </m:sup>
            </m:sSubSup>
          </m:den>
        </m:f>
      </m:oMath>
    </w:p>
    <w:p w14:paraId="34B06B9A" w14:textId="77777777" w:rsidR="000D101E" w:rsidRDefault="000D101E" w:rsidP="000D101E">
      <w:pPr>
        <w:pStyle w:val="Paragraphedeliste"/>
        <w:numPr>
          <w:ilvl w:val="0"/>
          <w:numId w:val="5"/>
        </w:numPr>
        <w:jc w:val="both"/>
      </w:pPr>
      <w:r>
        <w:t xml:space="preserve">Du coup, si le plus petit groupe est celui qui est associé à la variance la plus proche de la variance </w:t>
      </w:r>
      <w:proofErr w:type="spellStart"/>
      <w:r>
        <w:t>poolée</w:t>
      </w:r>
      <w:proofErr w:type="spellEnd"/>
      <w:r>
        <w:t xml:space="preserve">, le CVV diminue (au contraire, si le plus petit groupe est associé à la variance la plus loin de la variance </w:t>
      </w:r>
      <w:proofErr w:type="spellStart"/>
      <w:r>
        <w:t>poolée</w:t>
      </w:r>
      <w:proofErr w:type="spellEnd"/>
      <w:r>
        <w:t xml:space="preserve">, le CVV augmente). </w:t>
      </w:r>
    </w:p>
    <w:p w14:paraId="6F1CD4CD" w14:textId="77777777" w:rsidR="000D101E" w:rsidRDefault="000D101E" w:rsidP="000D101E">
      <w:pPr>
        <w:pStyle w:val="Paragraphedeliste"/>
        <w:numPr>
          <w:ilvl w:val="0"/>
          <w:numId w:val="5"/>
        </w:numPr>
        <w:jc w:val="both"/>
      </w:pPr>
      <w:r>
        <w:t xml:space="preserve">Plus il y a de groupes, plus le CVV tend à grandir (car le numérateur sous la racine carrée grandit plus vite que le dénominateur).  </w:t>
      </w:r>
    </w:p>
    <w:p w14:paraId="401C9EDB" w14:textId="77777777" w:rsidR="000D101E" w:rsidRDefault="000D101E" w:rsidP="000D101E">
      <w:pPr>
        <w:pStyle w:val="Paragraphedeliste"/>
        <w:ind w:left="360"/>
        <w:jc w:val="both"/>
      </w:pPr>
    </w:p>
    <w:p w14:paraId="2506FE11" w14:textId="77777777" w:rsidR="000D101E" w:rsidRDefault="000D101E" w:rsidP="000D101E">
      <w:pPr>
        <w:pStyle w:val="Paragraphedeliste"/>
        <w:numPr>
          <w:ilvl w:val="0"/>
          <w:numId w:val="12"/>
        </w:numPr>
        <w:jc w:val="both"/>
      </w:pPr>
      <w:r>
        <w:t xml:space="preserve">SVH = mesure créée pour « annuler l’effet du nombre de groupes ». Le SVH peut varier de 0 (= homogénéité des variances) à 1 (quand la variance de tous les groupes sauf 1 = 0, signifiant que le ratio max/min = l’infini).  </w:t>
      </w:r>
    </w:p>
    <w:p w14:paraId="184DA918" w14:textId="77777777" w:rsidR="000D101E" w:rsidRDefault="000D101E" w:rsidP="000D101E">
      <w:pPr>
        <w:pStyle w:val="Paragraphedeliste"/>
        <w:jc w:val="both"/>
      </w:pPr>
    </w:p>
    <w:p w14:paraId="765CCC2A" w14:textId="77777777" w:rsidR="000D101E" w:rsidRDefault="000D101E" w:rsidP="000D101E">
      <w:pPr>
        <w:jc w:val="both"/>
      </w:pPr>
      <w:r>
        <w:t xml:space="preserve">Box (1954) prétendait que le ratio de variances dépassait rarement 3 (or, un ratio de 3 correspond à un SDR de 1.73). </w:t>
      </w:r>
      <w:proofErr w:type="spellStart"/>
      <w:r>
        <w:t>Ruschio</w:t>
      </w:r>
      <w:proofErr w:type="spellEnd"/>
      <w:r>
        <w:t xml:space="preserve"> &amp; Roche ont fait deux choses :</w:t>
      </w:r>
    </w:p>
    <w:p w14:paraId="61116E47" w14:textId="77777777" w:rsidR="000D101E" w:rsidRDefault="000D101E" w:rsidP="000D101E">
      <w:pPr>
        <w:pStyle w:val="Paragraphedeliste"/>
        <w:numPr>
          <w:ilvl w:val="0"/>
          <w:numId w:val="11"/>
        </w:numPr>
        <w:jc w:val="both"/>
      </w:pPr>
      <w:r>
        <w:t xml:space="preserve">Ils ont déterminé, pour des designs ayant des tailles d’échantillon et un nombre de groupes similaires à ceux de leur investigation, dans quel pourcentage de cas le ratio de variances serait supérieur à 3 </w:t>
      </w:r>
      <w:r w:rsidRPr="00BF1B2D">
        <w:rPr>
          <w:b/>
          <w:bCs/>
        </w:rPr>
        <w:t>si les échantillons étaient extraits de populations</w:t>
      </w:r>
      <w:r>
        <w:rPr>
          <w:b/>
          <w:bCs/>
        </w:rPr>
        <w:t xml:space="preserve"> normales</w:t>
      </w:r>
      <w:r w:rsidRPr="00BF1B2D">
        <w:rPr>
          <w:b/>
          <w:bCs/>
        </w:rPr>
        <w:t xml:space="preserve"> aux variances égales.</w:t>
      </w:r>
      <w:r>
        <w:t xml:space="preserve"> </w:t>
      </w:r>
    </w:p>
    <w:p w14:paraId="74C07FEB" w14:textId="77777777" w:rsidR="000D101E" w:rsidRDefault="000D101E" w:rsidP="000D101E">
      <w:pPr>
        <w:pStyle w:val="Paragraphedeliste"/>
        <w:numPr>
          <w:ilvl w:val="0"/>
          <w:numId w:val="11"/>
        </w:numPr>
        <w:jc w:val="both"/>
      </w:pPr>
      <w:r>
        <w:t xml:space="preserve">Ils ont déterminé la proportion d’études dont le ratio de variances était supérieur à 3 dans leur investigation (pour voir si ce taux dépassait celui de l’erreur d’échantillonnage). </w:t>
      </w:r>
    </w:p>
    <w:p w14:paraId="17F84A51" w14:textId="77777777" w:rsidR="000D101E" w:rsidRDefault="000D101E" w:rsidP="000D101E">
      <w:pPr>
        <w:jc w:val="both"/>
        <w:rPr>
          <w:color w:val="000000" w:themeColor="text1"/>
        </w:rPr>
      </w:pPr>
      <w:r w:rsidRPr="00AD76FD">
        <w:rPr>
          <w:color w:val="000000" w:themeColor="text1"/>
        </w:rPr>
        <w:t>Ils ont trouvé</w:t>
      </w:r>
      <w:r>
        <w:rPr>
          <w:color w:val="000000" w:themeColor="text1"/>
        </w:rPr>
        <w:t xml:space="preserve"> que le ratio empirique était bien supérieur au ratio théorique (il dépassait 3 dans presque un quart des cas, alors que c’est bcp plus rare quand il y a homoscédasticité, d’après leurs estimations théoriques). </w:t>
      </w:r>
    </w:p>
    <w:p w14:paraId="7BB52EC2" w14:textId="77777777" w:rsidR="000D101E" w:rsidRDefault="000D101E" w:rsidP="000D101E">
      <w:pPr>
        <w:jc w:val="both"/>
        <w:rPr>
          <w:color w:val="000000" w:themeColor="text1"/>
        </w:rPr>
      </w:pPr>
      <w:r w:rsidRPr="00C1348A">
        <w:rPr>
          <w:b/>
          <w:bCs/>
          <w:color w:val="000000" w:themeColor="text1"/>
          <w:u w:val="single"/>
        </w:rPr>
        <w:t>Attention</w:t>
      </w:r>
      <w:r>
        <w:rPr>
          <w:color w:val="000000" w:themeColor="text1"/>
        </w:rPr>
        <w:t xml:space="preserve"> : relativisons un peu leur constat : </w:t>
      </w:r>
    </w:p>
    <w:p w14:paraId="70CFB040" w14:textId="77777777" w:rsidR="000D101E" w:rsidRDefault="000D101E" w:rsidP="000D101E">
      <w:pPr>
        <w:pStyle w:val="Paragraphedeliste"/>
        <w:numPr>
          <w:ilvl w:val="0"/>
          <w:numId w:val="2"/>
        </w:numPr>
        <w:jc w:val="both"/>
        <w:rPr>
          <w:color w:val="000000" w:themeColor="text1"/>
        </w:rPr>
      </w:pPr>
      <w:r w:rsidRPr="009F718E">
        <w:rPr>
          <w:color w:val="000000" w:themeColor="text1"/>
        </w:rPr>
        <w:t>ils ont estimé le taux de VR&gt;3</w:t>
      </w:r>
      <w:r>
        <w:rPr>
          <w:color w:val="000000" w:themeColor="text1"/>
        </w:rPr>
        <w:t>,</w:t>
      </w:r>
      <w:r w:rsidRPr="009F718E">
        <w:rPr>
          <w:color w:val="000000" w:themeColor="text1"/>
        </w:rPr>
        <w:t xml:space="preserve"> qu’on devrait estimer théoriquement</w:t>
      </w:r>
      <w:r>
        <w:rPr>
          <w:color w:val="000000" w:themeColor="text1"/>
        </w:rPr>
        <w:t>,</w:t>
      </w:r>
      <w:r w:rsidRPr="009F718E">
        <w:rPr>
          <w:color w:val="000000" w:themeColor="text1"/>
        </w:rPr>
        <w:t xml:space="preserve"> en faisant comme si les échantillons étaient extraits de populations normales. Or, on sait que c’est irréaliste en réalité (ils le disent eux même d’ailleurs). J’ai constaté qu’en considérant les valeurs de G1 et G2 que j’ai envisagé dans l’article sur les tailles d’effets que la proportion de VR supérieurs à 3 était bien plus élevée avec des distributions fortement asymétriques et </w:t>
      </w:r>
      <w:proofErr w:type="spellStart"/>
      <w:r w:rsidRPr="009F718E">
        <w:rPr>
          <w:color w:val="000000" w:themeColor="text1"/>
        </w:rPr>
        <w:t>heavy</w:t>
      </w:r>
      <w:proofErr w:type="spellEnd"/>
      <w:r w:rsidRPr="009F718E">
        <w:rPr>
          <w:color w:val="000000" w:themeColor="text1"/>
        </w:rPr>
        <w:t xml:space="preserve"> </w:t>
      </w:r>
      <w:proofErr w:type="spellStart"/>
      <w:r w:rsidRPr="009F718E">
        <w:rPr>
          <w:color w:val="000000" w:themeColor="text1"/>
        </w:rPr>
        <w:t>tailed</w:t>
      </w:r>
      <w:proofErr w:type="spellEnd"/>
      <w:r w:rsidRPr="009F718E">
        <w:rPr>
          <w:color w:val="000000" w:themeColor="text1"/>
        </w:rPr>
        <w:t xml:space="preserve">. </w:t>
      </w:r>
    </w:p>
    <w:p w14:paraId="6AA9771E" w14:textId="77777777" w:rsidR="000D101E" w:rsidRDefault="000D101E" w:rsidP="000D101E">
      <w:pPr>
        <w:pStyle w:val="Paragraphedeliste"/>
        <w:numPr>
          <w:ilvl w:val="0"/>
          <w:numId w:val="2"/>
        </w:numPr>
        <w:jc w:val="both"/>
        <w:rPr>
          <w:color w:val="000000" w:themeColor="text1"/>
        </w:rPr>
      </w:pPr>
      <w:r>
        <w:rPr>
          <w:color w:val="000000" w:themeColor="text1"/>
        </w:rPr>
        <w:lastRenderedPageBreak/>
        <w:t xml:space="preserve">De même, si l’on compare la VR médiane et la VR maximum qu’ils trouvent empiriquement, les deux valeurs sont supérieures à celles qu’on aurait théoriquement si les données étaient extraites de populations normales aux variances identiques, mais pas forcément supérieures à ce qu’on aurait si les distributions étaient extraites de populations similaires à celles que j’ai envisagé dans mon article sur les tailles d’effet. </w:t>
      </w:r>
    </w:p>
    <w:p w14:paraId="024B9B16" w14:textId="77777777" w:rsidR="000D101E" w:rsidRDefault="000D101E" w:rsidP="000D101E">
      <w:pPr>
        <w:pStyle w:val="Paragraphedeliste"/>
        <w:jc w:val="both"/>
        <w:rPr>
          <w:color w:val="000000" w:themeColor="text1"/>
        </w:rPr>
      </w:pPr>
      <w:r w:rsidRPr="00505D4F">
        <w:rPr>
          <w:color w:val="000000" w:themeColor="text1"/>
        </w:rPr>
        <w:sym w:font="Wingdings" w:char="F0E0"/>
      </w:r>
      <w:r>
        <w:rPr>
          <w:color w:val="000000" w:themeColor="text1"/>
        </w:rPr>
        <w:t xml:space="preserve"> Tout ça me fait penser que leur étude est une très bonne idée et une très bonne piste pour estimer si vraiment les VR observées sont problématiques en réalité, mais qu’il faudrait envisager d’autres distributions théoriques que les distributions normales pour bien faire.</w:t>
      </w:r>
    </w:p>
    <w:p w14:paraId="29893EA9" w14:textId="6D9C9B7E" w:rsidR="000D101E" w:rsidRDefault="000D101E" w:rsidP="000D101E">
      <w:pPr>
        <w:pStyle w:val="Paragraphedeliste"/>
        <w:spacing w:after="0"/>
        <w:jc w:val="both"/>
        <w:rPr>
          <w:color w:val="00B050"/>
        </w:rPr>
      </w:pPr>
      <w:r w:rsidRPr="00505D4F">
        <w:rPr>
          <w:color w:val="00B050"/>
        </w:rPr>
        <w:t>Attention : ce n’est pas si simple que ça parce que s’il est difficile de comparer les VR empiriques et théoriques, il est tout aussi difficile d’estimer des distributions de population réalistes (la distribution d’échantillonnage de G1 et G2 est aussi asymétrique, et donc les valeurs considérées dans mon article sont probablement aussi une large surestimation de la réalité !)</w:t>
      </w:r>
      <w:r w:rsidR="00CF2572">
        <w:rPr>
          <w:color w:val="00B050"/>
        </w:rPr>
        <w:t xml:space="preserve">. </w:t>
      </w:r>
    </w:p>
    <w:p w14:paraId="11359E8F" w14:textId="0C77ECF8" w:rsidR="000D101E" w:rsidRPr="00A018DE" w:rsidRDefault="000D101E" w:rsidP="000D101E">
      <w:pPr>
        <w:spacing w:after="0"/>
        <w:jc w:val="both"/>
        <w:rPr>
          <w:color w:val="000000" w:themeColor="text1"/>
        </w:rPr>
      </w:pPr>
    </w:p>
    <w:p w14:paraId="51E99384" w14:textId="77777777" w:rsidR="00614C98" w:rsidRDefault="00614C98">
      <w:pPr>
        <w:rPr>
          <w:rFonts w:asciiTheme="majorHAnsi" w:eastAsiaTheme="majorEastAsia" w:hAnsiTheme="majorHAnsi" w:cstheme="majorBidi"/>
          <w:color w:val="2F5496" w:themeColor="accent1" w:themeShade="BF"/>
          <w:sz w:val="26"/>
          <w:szCs w:val="26"/>
        </w:rPr>
      </w:pPr>
      <w:r>
        <w:br w:type="page"/>
      </w:r>
    </w:p>
    <w:p w14:paraId="1C975D21" w14:textId="3A75BD3D" w:rsidR="000D101E" w:rsidRPr="000D101E" w:rsidRDefault="000D101E" w:rsidP="000D101E">
      <w:pPr>
        <w:pStyle w:val="Titre2"/>
        <w:numPr>
          <w:ilvl w:val="0"/>
          <w:numId w:val="1"/>
        </w:numPr>
      </w:pPr>
      <w:r>
        <w:lastRenderedPageBreak/>
        <w:t>A revoir dans la thèse avant la défense (pour être capable de le réexpliquer)</w:t>
      </w:r>
    </w:p>
    <w:p w14:paraId="648DEADC" w14:textId="074EA65D" w:rsidR="000D101E" w:rsidRDefault="000D101E" w:rsidP="000D101E"/>
    <w:p w14:paraId="0D55FF42" w14:textId="70B84065" w:rsidR="00A24E2F" w:rsidRDefault="00A24E2F" w:rsidP="00614C98">
      <w:pPr>
        <w:pStyle w:val="Titre3"/>
        <w:numPr>
          <w:ilvl w:val="1"/>
          <w:numId w:val="1"/>
        </w:numPr>
      </w:pPr>
      <w:r>
        <w:t>Limite de mes articles auxquelles je n’ai pas pensé en rédigeant ma thèse</w:t>
      </w:r>
    </w:p>
    <w:p w14:paraId="6F50E45F" w14:textId="6A0EAA22" w:rsidR="00A24E2F" w:rsidRDefault="00D07304" w:rsidP="000D101E">
      <w:r>
        <w:t xml:space="preserve">Je fais que des simulations pour tester des tests </w:t>
      </w:r>
      <w:r w:rsidRPr="00D07304">
        <w:rPr>
          <w:b/>
          <w:bCs/>
          <w:u w:val="single"/>
        </w:rPr>
        <w:t>bilatéraux</w:t>
      </w:r>
      <w:r>
        <w:t xml:space="preserve">. Ça peut donner l’impression de sous-estimer le problème </w:t>
      </w:r>
      <w:r w:rsidR="004D1EE9">
        <w:t xml:space="preserve">pour </w:t>
      </w:r>
      <w:r>
        <w:t>certain</w:t>
      </w:r>
      <w:r w:rsidR="004D1EE9">
        <w:t>s</w:t>
      </w:r>
      <w:r>
        <w:t xml:space="preserve"> tests. Wilcox (2010) donne un exemple </w:t>
      </w:r>
      <w:r w:rsidR="004D1EE9">
        <w:t xml:space="preserve">(pour un test t pour </w:t>
      </w:r>
      <w:proofErr w:type="spellStart"/>
      <w:r w:rsidR="004D1EE9">
        <w:t>éch</w:t>
      </w:r>
      <w:proofErr w:type="spellEnd"/>
      <w:r w:rsidR="004D1EE9">
        <w:t xml:space="preserve"> unique)</w:t>
      </w:r>
      <w:r>
        <w:t>:</w:t>
      </w:r>
    </w:p>
    <w:p w14:paraId="6D405F15" w14:textId="5CE90370" w:rsidR="00D07304" w:rsidRDefault="004D1EE9" w:rsidP="004D1EE9">
      <w:pPr>
        <w:jc w:val="center"/>
      </w:pPr>
      <w:r>
        <w:rPr>
          <w:noProof/>
        </w:rPr>
        <w:drawing>
          <wp:inline distT="0" distB="0" distL="0" distR="0" wp14:anchorId="14117C35" wp14:editId="67AFC36C">
            <wp:extent cx="3927276" cy="2059388"/>
            <wp:effectExtent l="0" t="0" r="0" b="0"/>
            <wp:docPr id="11" name="Image 11" descr="Une image contenant texte, bateau,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exte, bateau, blanc&#10;&#10;Description générée automatiqueme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32877" cy="2062325"/>
                    </a:xfrm>
                    <a:prstGeom prst="rect">
                      <a:avLst/>
                    </a:prstGeom>
                    <a:noFill/>
                    <a:ln>
                      <a:noFill/>
                    </a:ln>
                  </pic:spPr>
                </pic:pic>
              </a:graphicData>
            </a:graphic>
          </wp:inline>
        </w:drawing>
      </w:r>
    </w:p>
    <w:p w14:paraId="7235CD88" w14:textId="457DAFCB" w:rsidR="004D1EE9" w:rsidRDefault="004D1EE9" w:rsidP="004D1EE9">
      <w:pPr>
        <w:jc w:val="both"/>
      </w:pPr>
      <w:r>
        <w:t>A gauche, on a la distribution de la population. A droite (en pointillés), la distribution d’échantillonnage de la stat t. Imaginons qu’on fixe le risque alpha, pour un test bilatéral, à 10% :</w:t>
      </w:r>
    </w:p>
    <w:p w14:paraId="01CDC6E8" w14:textId="0D8E688B" w:rsidR="004D1EE9" w:rsidRDefault="004D1EE9" w:rsidP="004D1EE9">
      <w:pPr>
        <w:pStyle w:val="Paragraphedeliste"/>
        <w:numPr>
          <w:ilvl w:val="0"/>
          <w:numId w:val="2"/>
        </w:numPr>
        <w:jc w:val="both"/>
      </w:pPr>
      <w:r>
        <w:t xml:space="preserve">Si je fais un test en unilatéral à gauche (alpha = 5% du coup), le taux d’erreur de type I sera supérieur aux attentes théoriques (car forte densité à gauche de la courbe). </w:t>
      </w:r>
      <w:r w:rsidRPr="004D1EE9">
        <w:rPr>
          <w:i/>
          <w:iCs/>
        </w:rPr>
        <w:t>Il vaudra .109</w:t>
      </w:r>
    </w:p>
    <w:p w14:paraId="2B4D645B" w14:textId="0A3735CC" w:rsidR="004D1EE9" w:rsidRPr="004D1EE9" w:rsidRDefault="004D1EE9" w:rsidP="004D1EE9">
      <w:pPr>
        <w:pStyle w:val="Paragraphedeliste"/>
        <w:numPr>
          <w:ilvl w:val="0"/>
          <w:numId w:val="2"/>
        </w:numPr>
        <w:jc w:val="both"/>
      </w:pPr>
      <w:r>
        <w:t xml:space="preserve">Si je fais un test en unilatéral à droite (alpha = 5%), le taux d’erreur de type I sera inférieur aux attentes théoriques (car faible densité à droite de la courbe). </w:t>
      </w:r>
      <w:r w:rsidRPr="004D1EE9">
        <w:rPr>
          <w:i/>
          <w:iCs/>
        </w:rPr>
        <w:t>Il vaudra .022</w:t>
      </w:r>
    </w:p>
    <w:p w14:paraId="031797AC" w14:textId="6236DC1A" w:rsidR="004D1EE9" w:rsidRDefault="004D1EE9" w:rsidP="004D1EE9">
      <w:pPr>
        <w:pStyle w:val="Paragraphedeliste"/>
        <w:numPr>
          <w:ilvl w:val="0"/>
          <w:numId w:val="5"/>
        </w:numPr>
        <w:jc w:val="both"/>
      </w:pPr>
      <w:r w:rsidRPr="004D1EE9">
        <w:t xml:space="preserve">Dans les deux cas, </w:t>
      </w:r>
      <w:r>
        <w:t xml:space="preserve"> je suis hors des limites libérales jugées acceptables par Bradley (à savoir [.025 ; .075].</w:t>
      </w:r>
    </w:p>
    <w:p w14:paraId="507F4D14" w14:textId="2D96905E" w:rsidR="004D1EE9" w:rsidRPr="004D1EE9" w:rsidRDefault="004D1EE9" w:rsidP="005916CA">
      <w:pPr>
        <w:pStyle w:val="Paragraphedeliste"/>
        <w:numPr>
          <w:ilvl w:val="0"/>
          <w:numId w:val="5"/>
        </w:numPr>
        <w:spacing w:after="0"/>
        <w:jc w:val="both"/>
        <w:rPr>
          <w:b/>
          <w:bCs/>
          <w:color w:val="00B050"/>
        </w:rPr>
      </w:pPr>
      <w:r w:rsidRPr="004D1EE9">
        <w:rPr>
          <w:b/>
          <w:bCs/>
          <w:color w:val="00B050"/>
        </w:rPr>
        <w:t xml:space="preserve">Pourtant, en bilatéral, le taux d’erreur de type I sera de .109+.022 = .131 </w:t>
      </w:r>
      <w:r w:rsidRPr="004D1EE9">
        <w:rPr>
          <w:b/>
          <w:bCs/>
          <w:color w:val="00B050"/>
        </w:rPr>
        <w:sym w:font="Wingdings" w:char="F0E0"/>
      </w:r>
      <w:r w:rsidRPr="004D1EE9">
        <w:rPr>
          <w:b/>
          <w:bCs/>
          <w:color w:val="00B050"/>
        </w:rPr>
        <w:t xml:space="preserve"> je ne suis plus hors des limites libérales jugées acceptables par Bradley (à savoir [.05, .15]). Le problème a donc l’air moins grave qu’il ne l’est.</w:t>
      </w:r>
    </w:p>
    <w:p w14:paraId="05C56512" w14:textId="4A95CE51" w:rsidR="004D1EE9" w:rsidRDefault="004D1EE9" w:rsidP="00EA0244">
      <w:pPr>
        <w:pStyle w:val="Titre3"/>
      </w:pPr>
      <w:r>
        <w:t xml:space="preserve"> </w:t>
      </w:r>
      <w:r w:rsidR="00503740">
        <w:t xml:space="preserve"> </w:t>
      </w:r>
    </w:p>
    <w:p w14:paraId="17341B4D" w14:textId="77777777" w:rsidR="00006A17" w:rsidRDefault="00006A17">
      <w:pPr>
        <w:rPr>
          <w:rFonts w:asciiTheme="majorHAnsi" w:eastAsiaTheme="majorEastAsia" w:hAnsiTheme="majorHAnsi" w:cstheme="majorBidi"/>
          <w:color w:val="1F3763" w:themeColor="accent1" w:themeShade="7F"/>
          <w:sz w:val="24"/>
          <w:szCs w:val="24"/>
        </w:rPr>
      </w:pPr>
      <w:r>
        <w:br w:type="page"/>
      </w:r>
    </w:p>
    <w:p w14:paraId="69BA5D7D" w14:textId="05E0266E" w:rsidR="00CA764F" w:rsidRDefault="00EA0244" w:rsidP="00CA764F">
      <w:pPr>
        <w:pStyle w:val="Titre3"/>
        <w:numPr>
          <w:ilvl w:val="1"/>
          <w:numId w:val="1"/>
        </w:numPr>
      </w:pPr>
      <w:commentRangeStart w:id="2"/>
      <w:r>
        <w:lastRenderedPageBreak/>
        <w:t xml:space="preserve">Test de </w:t>
      </w:r>
      <w:proofErr w:type="spellStart"/>
      <w:r>
        <w:t>Yuen</w:t>
      </w:r>
      <w:proofErr w:type="spellEnd"/>
      <w:r>
        <w:t> : l’étudier et revoir pourquoi il est moins puissant que le test t classique quand les conditions sont respectées</w:t>
      </w:r>
      <w:commentRangeEnd w:id="2"/>
      <w:r w:rsidR="00614C98">
        <w:rPr>
          <w:rStyle w:val="Marquedecommentaire"/>
          <w:rFonts w:asciiTheme="minorHAnsi" w:eastAsiaTheme="minorHAnsi" w:hAnsiTheme="minorHAnsi" w:cstheme="minorBidi"/>
          <w:color w:val="auto"/>
        </w:rPr>
        <w:commentReference w:id="2"/>
      </w:r>
    </w:p>
    <w:p w14:paraId="032F0DED" w14:textId="3F35E6E8" w:rsidR="00CA764F" w:rsidRDefault="00CA764F" w:rsidP="00CA764F"/>
    <w:p w14:paraId="14FCB267" w14:textId="77777777" w:rsidR="00CA764F" w:rsidRPr="000D101E" w:rsidRDefault="00CA764F" w:rsidP="00CA764F">
      <w:r w:rsidRPr="00B162CF">
        <w:rPr>
          <w:b/>
          <w:bCs/>
        </w:rPr>
        <w:t>Remarque</w:t>
      </w:r>
      <w:r>
        <w:t xml:space="preserve"> : D’après </w:t>
      </w:r>
      <w:proofErr w:type="spellStart"/>
      <w:r>
        <w:t>Erceg-Hurn</w:t>
      </w:r>
      <w:proofErr w:type="spellEnd"/>
      <w:r>
        <w:t xml:space="preserve"> et </w:t>
      </w:r>
      <w:proofErr w:type="spellStart"/>
      <w:r>
        <w:t>Mirosevich</w:t>
      </w:r>
      <w:proofErr w:type="spellEnd"/>
      <w:r>
        <w:t xml:space="preserve">, le test de </w:t>
      </w:r>
      <w:proofErr w:type="spellStart"/>
      <w:r>
        <w:t>Yuen</w:t>
      </w:r>
      <w:proofErr w:type="spellEnd"/>
      <w:r>
        <w:t xml:space="preserve"> est préférable aux tests non paramétriques car peut être généralisé pour des designs plus complexes (designs factoriels par exemple).  </w:t>
      </w:r>
    </w:p>
    <w:p w14:paraId="3D54D49D" w14:textId="77777777" w:rsidR="00CA764F" w:rsidRPr="00B64814" w:rsidRDefault="00CA764F" w:rsidP="00CA764F">
      <w:pPr>
        <w:spacing w:after="0"/>
        <w:rPr>
          <w:sz w:val="10"/>
          <w:szCs w:val="10"/>
        </w:rPr>
      </w:pPr>
    </w:p>
    <w:p w14:paraId="7A6D518A" w14:textId="77777777" w:rsidR="00CA764F" w:rsidRPr="006F4714" w:rsidRDefault="00CA764F" w:rsidP="00CA764F">
      <w:pPr>
        <w:pStyle w:val="Paragraphedeliste"/>
        <w:numPr>
          <w:ilvl w:val="0"/>
          <w:numId w:val="18"/>
        </w:numPr>
        <w:rPr>
          <w:b/>
          <w:bCs/>
        </w:rPr>
      </w:pPr>
      <w:r w:rsidRPr="006F4714">
        <w:rPr>
          <w:b/>
          <w:bCs/>
        </w:rPr>
        <w:t xml:space="preserve">Comment le test de </w:t>
      </w:r>
      <w:proofErr w:type="spellStart"/>
      <w:r w:rsidRPr="006F4714">
        <w:rPr>
          <w:b/>
          <w:bCs/>
        </w:rPr>
        <w:t>Yuen</w:t>
      </w:r>
      <w:proofErr w:type="spellEnd"/>
      <w:r w:rsidRPr="006F4714">
        <w:rPr>
          <w:b/>
          <w:bCs/>
        </w:rPr>
        <w:t xml:space="preserve"> est calculé (cf. fichier R « </w:t>
      </w:r>
      <w:proofErr w:type="spellStart"/>
      <w:r w:rsidRPr="006F4714">
        <w:rPr>
          <w:b/>
          <w:bCs/>
        </w:rPr>
        <w:t>Yuen_calculations.R</w:t>
      </w:r>
      <w:proofErr w:type="spellEnd"/>
      <w:r w:rsidRPr="006F4714">
        <w:rPr>
          <w:b/>
          <w:bCs/>
        </w:rPr>
        <w:t> ») :</w:t>
      </w:r>
    </w:p>
    <w:p w14:paraId="4EDE186A" w14:textId="77777777" w:rsidR="00CA764F" w:rsidRDefault="00CA764F" w:rsidP="00CA764F">
      <w:r>
        <w:t xml:space="preserve">Le test de </w:t>
      </w:r>
      <w:proofErr w:type="spellStart"/>
      <w:r>
        <w:t>Yuen</w:t>
      </w:r>
      <w:proofErr w:type="spellEnd"/>
      <w:r>
        <w:t xml:space="preserve"> consiste à calculer des moyennes </w:t>
      </w:r>
      <w:proofErr w:type="spellStart"/>
      <w:r>
        <w:t>trimmées</w:t>
      </w:r>
      <w:proofErr w:type="spellEnd"/>
      <w:r>
        <w:t xml:space="preserve"> et la variance </w:t>
      </w:r>
      <w:proofErr w:type="spellStart"/>
      <w:r>
        <w:t>winsorizée</w:t>
      </w:r>
      <w:proofErr w:type="spellEnd"/>
      <w:r>
        <w:t>.</w:t>
      </w:r>
    </w:p>
    <w:p w14:paraId="395B68F5" w14:textId="77777777" w:rsidR="00CA764F" w:rsidRDefault="00CA764F" w:rsidP="00CA764F">
      <w:pPr>
        <w:pStyle w:val="Paragraphedeliste"/>
        <w:numPr>
          <w:ilvl w:val="0"/>
          <w:numId w:val="2"/>
        </w:numPr>
      </w:pPr>
      <w:r>
        <w:t xml:space="preserve">Moyenne </w:t>
      </w:r>
      <w:proofErr w:type="spellStart"/>
      <w:r>
        <w:t>trimmée</w:t>
      </w:r>
      <w:proofErr w:type="spellEnd"/>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tj</m:t>
            </m:r>
          </m:sub>
        </m:sSub>
      </m:oMath>
      <w:r>
        <w:t xml:space="preserve">)= dans chacun des groupes, on enlève 20% des scores les plus élevés et les plus faibles et on calcule la moyenne des groupes réduits </w:t>
      </w:r>
    </w:p>
    <w:p w14:paraId="02D65FAA" w14:textId="77777777" w:rsidR="00CA764F" w:rsidRDefault="00CA764F" w:rsidP="00CA764F">
      <w:pPr>
        <w:pStyle w:val="Paragraphedeliste"/>
        <w:numPr>
          <w:ilvl w:val="0"/>
          <w:numId w:val="2"/>
        </w:numPr>
      </w:pPr>
      <w:proofErr w:type="spellStart"/>
      <w:r w:rsidRPr="00B64814">
        <w:t>Winsorized</w:t>
      </w:r>
      <w:proofErr w:type="spellEnd"/>
      <w:r w:rsidRPr="00B64814">
        <w:t xml:space="preserve"> variance </w:t>
      </w:r>
      <w:r>
        <w:t>(</w:t>
      </w:r>
      <m:oMath>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wj</m:t>
            </m:r>
          </m:sub>
          <m:sup>
            <m:r>
              <w:rPr>
                <w:rFonts w:ascii="Cambria Math" w:eastAsiaTheme="minorEastAsia" w:hAnsi="Cambria Math"/>
              </w:rPr>
              <m:t>2</m:t>
            </m:r>
          </m:sup>
        </m:sSubSup>
        <m:r>
          <w:rPr>
            <w:rFonts w:ascii="Cambria Math" w:eastAsiaTheme="minorEastAsia" w:hAnsi="Cambria Math"/>
          </w:rPr>
          <m:t>)</m:t>
        </m:r>
      </m:oMath>
      <w:r w:rsidRPr="00B64814">
        <w:t xml:space="preserve">= </w:t>
      </w:r>
      <w:r>
        <w:t xml:space="preserve">dans chacun des groupes, on remplace les valeurs qu’on avait supprimées (en vue de calculer la moyennes </w:t>
      </w:r>
      <w:proofErr w:type="spellStart"/>
      <w:r>
        <w:t>trimmées</w:t>
      </w:r>
      <w:proofErr w:type="spellEnd"/>
      <w:r>
        <w:t xml:space="preserve">) par les scores les plus extrêmes non </w:t>
      </w:r>
      <w:proofErr w:type="spellStart"/>
      <w:r>
        <w:t>trimmés</w:t>
      </w:r>
      <w:proofErr w:type="spellEnd"/>
      <w:r>
        <w:t xml:space="preserve">. On calcule alors les variances sur les nouvelles séries (in fine, ces nouvelles séries ont autant d’observations que les séries de départ). </w:t>
      </w:r>
    </w:p>
    <w:p w14:paraId="7520BC5E" w14:textId="77777777" w:rsidR="00CA764F" w:rsidRDefault="00CA764F" w:rsidP="00CA764F">
      <w:r>
        <w:t>Il ne reste plus qu’à calculer ceci :</w:t>
      </w:r>
    </w:p>
    <w:p w14:paraId="03E76A86" w14:textId="77777777" w:rsidR="00CA764F" w:rsidRDefault="00CA764F" w:rsidP="00CA764F">
      <w:pPr>
        <w:jc w:val="center"/>
        <w:rPr>
          <w:rFonts w:eastAsiaTheme="minorEastAsia"/>
        </w:rPr>
      </w:pPr>
      <m:oMath>
        <m:sSub>
          <m:sSubPr>
            <m:ctrlPr>
              <w:rPr>
                <w:rFonts w:ascii="Cambria Math" w:hAnsi="Cambria Math"/>
                <w:i/>
              </w:rPr>
            </m:ctrlPr>
          </m:sSubPr>
          <m:e>
            <m:r>
              <w:rPr>
                <w:rFonts w:ascii="Cambria Math" w:hAnsi="Cambria Math"/>
              </w:rPr>
              <m:t>T</m:t>
            </m:r>
          </m:e>
          <m:sub>
            <m:r>
              <w:rPr>
                <w:rFonts w:ascii="Cambria Math" w:hAnsi="Cambria Math"/>
              </w:rPr>
              <m:t>y</m:t>
            </m:r>
          </m:sub>
        </m:sSub>
        <m:r>
          <w:rPr>
            <w:rFonts w:ascii="Cambria Math" w:hAnsi="Cambria Math"/>
          </w:rPr>
          <m:t>=</m:t>
        </m:r>
        <m:f>
          <m:fPr>
            <m:ctrlPr>
              <w:rPr>
                <w:rFonts w:ascii="Cambria Math" w:hAnsi="Cambria Math"/>
                <w:i/>
              </w:rPr>
            </m:ctrlPr>
          </m:fPr>
          <m:num>
            <m:sSub>
              <m:sSubPr>
                <m:ctrlPr>
                  <w:rPr>
                    <w:rFonts w:ascii="Cambria Math" w:hAnsi="Cambria Math"/>
                    <w:b/>
                    <w:bCs/>
                    <w:i/>
                    <w:color w:val="00B050"/>
                  </w:rPr>
                </m:ctrlPr>
              </m:sSubPr>
              <m:e>
                <m:acc>
                  <m:accPr>
                    <m:chr m:val="̅"/>
                    <m:ctrlPr>
                      <w:rPr>
                        <w:rFonts w:ascii="Cambria Math" w:hAnsi="Cambria Math"/>
                        <w:b/>
                        <w:bCs/>
                        <w:i/>
                        <w:color w:val="00B050"/>
                      </w:rPr>
                    </m:ctrlPr>
                  </m:accPr>
                  <m:e>
                    <m:r>
                      <m:rPr>
                        <m:sty m:val="bi"/>
                      </m:rPr>
                      <w:rPr>
                        <w:rFonts w:ascii="Cambria Math" w:hAnsi="Cambria Math"/>
                        <w:color w:val="00B050"/>
                      </w:rPr>
                      <m:t>X</m:t>
                    </m:r>
                  </m:e>
                </m:acc>
              </m:e>
              <m:sub>
                <m:r>
                  <m:rPr>
                    <m:sty m:val="bi"/>
                  </m:rPr>
                  <w:rPr>
                    <w:rFonts w:ascii="Cambria Math" w:hAnsi="Cambria Math"/>
                    <w:color w:val="00B050"/>
                  </w:rPr>
                  <m:t>t</m:t>
                </m:r>
                <m:r>
                  <m:rPr>
                    <m:sty m:val="bi"/>
                  </m:rPr>
                  <w:rPr>
                    <w:rFonts w:ascii="Cambria Math" w:hAnsi="Cambria Math"/>
                    <w:color w:val="00B050"/>
                  </w:rPr>
                  <m:t>1</m:t>
                </m:r>
              </m:sub>
            </m:sSub>
            <m:r>
              <w:rPr>
                <w:rFonts w:ascii="Cambria Math" w:hAnsi="Cambria Math"/>
                <w:color w:val="00B050"/>
              </w:rPr>
              <m:t>-</m:t>
            </m:r>
            <m:sSub>
              <m:sSubPr>
                <m:ctrlPr>
                  <w:rPr>
                    <w:rFonts w:ascii="Cambria Math" w:hAnsi="Cambria Math"/>
                    <w:b/>
                    <w:bCs/>
                    <w:i/>
                    <w:color w:val="00B050"/>
                  </w:rPr>
                </m:ctrlPr>
              </m:sSubPr>
              <m:e>
                <m:acc>
                  <m:accPr>
                    <m:chr m:val="̅"/>
                    <m:ctrlPr>
                      <w:rPr>
                        <w:rFonts w:ascii="Cambria Math" w:hAnsi="Cambria Math"/>
                        <w:b/>
                        <w:bCs/>
                        <w:i/>
                        <w:color w:val="00B050"/>
                      </w:rPr>
                    </m:ctrlPr>
                  </m:accPr>
                  <m:e>
                    <m:r>
                      <m:rPr>
                        <m:sty m:val="bi"/>
                      </m:rPr>
                      <w:rPr>
                        <w:rFonts w:ascii="Cambria Math" w:hAnsi="Cambria Math"/>
                        <w:color w:val="00B050"/>
                      </w:rPr>
                      <m:t>X</m:t>
                    </m:r>
                  </m:e>
                </m:acc>
              </m:e>
              <m:sub>
                <m:r>
                  <m:rPr>
                    <m:sty m:val="bi"/>
                  </m:rPr>
                  <w:rPr>
                    <w:rFonts w:ascii="Cambria Math" w:hAnsi="Cambria Math"/>
                    <w:color w:val="00B050"/>
                  </w:rPr>
                  <m:t>t</m:t>
                </m:r>
                <m:r>
                  <m:rPr>
                    <m:sty m:val="bi"/>
                  </m:rPr>
                  <w:rPr>
                    <w:rFonts w:ascii="Cambria Math" w:hAnsi="Cambria Math"/>
                    <w:color w:val="00B050"/>
                  </w:rPr>
                  <m:t>2</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e>
            </m:rad>
          </m:den>
        </m:f>
      </m:oMath>
      <w:r>
        <w:rPr>
          <w:rFonts w:eastAsiaTheme="minorEastAsia"/>
        </w:rPr>
        <w:t xml:space="preserve"> où </w:t>
      </w:r>
    </w:p>
    <w:p w14:paraId="5FEE5159" w14:textId="77777777" w:rsidR="00CA764F" w:rsidRPr="00235230" w:rsidRDefault="00CA764F" w:rsidP="00CA764F">
      <w:pPr>
        <w:pStyle w:val="Paragraphedeliste"/>
        <w:numPr>
          <w:ilvl w:val="0"/>
          <w:numId w:val="7"/>
        </w:numPr>
        <w:jc w:val="both"/>
      </w:pP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b/>
                        <w:bCs/>
                        <w:i/>
                        <w:color w:val="ED7D31" w:themeColor="accent2"/>
                      </w:rPr>
                    </m:ctrlPr>
                  </m:sSubPr>
                  <m:e>
                    <m:r>
                      <m:rPr>
                        <m:sty m:val="bi"/>
                      </m:rPr>
                      <w:rPr>
                        <w:rFonts w:ascii="Cambria Math" w:eastAsiaTheme="minorEastAsia" w:hAnsi="Cambria Math"/>
                        <w:color w:val="ED7D31" w:themeColor="accent2"/>
                      </w:rPr>
                      <m:t>n</m:t>
                    </m:r>
                  </m:e>
                  <m:sub>
                    <m:r>
                      <m:rPr>
                        <m:sty m:val="bi"/>
                      </m:rPr>
                      <w:rPr>
                        <w:rFonts w:ascii="Cambria Math" w:eastAsiaTheme="minorEastAsia" w:hAnsi="Cambria Math"/>
                        <w:color w:val="ED7D31" w:themeColor="accent2"/>
                      </w:rPr>
                      <m:t>j</m:t>
                    </m:r>
                  </m:sub>
                </m:sSub>
                <m:r>
                  <w:rPr>
                    <w:rFonts w:ascii="Cambria Math" w:eastAsiaTheme="minorEastAsia" w:hAnsi="Cambria Math"/>
                  </w:rPr>
                  <m:t>-1</m:t>
                </m:r>
              </m:e>
            </m:d>
            <m:sSubSup>
              <m:sSubSupPr>
                <m:ctrlPr>
                  <w:rPr>
                    <w:rFonts w:ascii="Cambria Math" w:eastAsiaTheme="minorEastAsia" w:hAnsi="Cambria Math"/>
                    <w:b/>
                    <w:bCs/>
                    <w:i/>
                    <w:color w:val="0070C0"/>
                  </w:rPr>
                </m:ctrlPr>
              </m:sSubSupPr>
              <m:e>
                <m:r>
                  <m:rPr>
                    <m:sty m:val="bi"/>
                  </m:rPr>
                  <w:rPr>
                    <w:rFonts w:ascii="Cambria Math" w:eastAsiaTheme="minorEastAsia" w:hAnsi="Cambria Math"/>
                    <w:color w:val="0070C0"/>
                  </w:rPr>
                  <m:t>S</m:t>
                </m:r>
              </m:e>
              <m:sub>
                <m:r>
                  <m:rPr>
                    <m:sty m:val="bi"/>
                  </m:rPr>
                  <w:rPr>
                    <w:rFonts w:ascii="Cambria Math" w:eastAsiaTheme="minorEastAsia" w:hAnsi="Cambria Math"/>
                    <w:color w:val="0070C0"/>
                  </w:rPr>
                  <m:t>wj</m:t>
                </m:r>
              </m:sub>
              <m:sup>
                <m:r>
                  <m:rPr>
                    <m:sty m:val="bi"/>
                  </m:rPr>
                  <w:rPr>
                    <w:rFonts w:ascii="Cambria Math" w:eastAsiaTheme="minorEastAsia" w:hAnsi="Cambria Math"/>
                    <w:color w:val="0070C0"/>
                  </w:rPr>
                  <m:t>2</m:t>
                </m:r>
              </m:sup>
            </m:sSubSup>
          </m:num>
          <m:den>
            <m:sSub>
              <m:sSubPr>
                <m:ctrlPr>
                  <w:rPr>
                    <w:rFonts w:ascii="Cambria Math" w:eastAsiaTheme="minorEastAsia" w:hAnsi="Cambria Math"/>
                    <w:b/>
                    <w:bCs/>
                    <w:i/>
                    <w:color w:val="ED7D31" w:themeColor="accent2"/>
                  </w:rPr>
                </m:ctrlPr>
              </m:sSubPr>
              <m:e>
                <m:r>
                  <m:rPr>
                    <m:sty m:val="bi"/>
                  </m:rPr>
                  <w:rPr>
                    <w:rFonts w:ascii="Cambria Math" w:eastAsiaTheme="minorEastAsia" w:hAnsi="Cambria Math"/>
                    <w:color w:val="ED7D31" w:themeColor="accent2"/>
                  </w:rPr>
                  <m:t>h</m:t>
                </m:r>
              </m:e>
              <m:sub>
                <m:r>
                  <m:rPr>
                    <m:sty m:val="bi"/>
                  </m:rPr>
                  <w:rPr>
                    <w:rFonts w:ascii="Cambria Math" w:eastAsiaTheme="minorEastAsia" w:hAnsi="Cambria Math"/>
                    <w:color w:val="ED7D31" w:themeColor="accent2"/>
                  </w:rPr>
                  <m:t>j</m:t>
                </m:r>
              </m:sub>
            </m:sSub>
            <m:d>
              <m:dPr>
                <m:ctrlPr>
                  <w:rPr>
                    <w:rFonts w:ascii="Cambria Math" w:eastAsiaTheme="minorEastAsia" w:hAnsi="Cambria Math"/>
                    <w:i/>
                  </w:rPr>
                </m:ctrlPr>
              </m:dPr>
              <m:e>
                <m:sSub>
                  <m:sSubPr>
                    <m:ctrlPr>
                      <w:rPr>
                        <w:rFonts w:ascii="Cambria Math" w:eastAsiaTheme="minorEastAsia" w:hAnsi="Cambria Math"/>
                        <w:b/>
                        <w:bCs/>
                        <w:i/>
                        <w:color w:val="ED7D31" w:themeColor="accent2"/>
                      </w:rPr>
                    </m:ctrlPr>
                  </m:sSubPr>
                  <m:e>
                    <m:r>
                      <m:rPr>
                        <m:sty m:val="bi"/>
                      </m:rPr>
                      <w:rPr>
                        <w:rFonts w:ascii="Cambria Math" w:eastAsiaTheme="minorEastAsia" w:hAnsi="Cambria Math"/>
                        <w:color w:val="ED7D31" w:themeColor="accent2"/>
                      </w:rPr>
                      <m:t>h</m:t>
                    </m:r>
                  </m:e>
                  <m:sub>
                    <m:r>
                      <m:rPr>
                        <m:sty m:val="bi"/>
                      </m:rPr>
                      <w:rPr>
                        <w:rFonts w:ascii="Cambria Math" w:eastAsiaTheme="minorEastAsia" w:hAnsi="Cambria Math"/>
                        <w:color w:val="ED7D31" w:themeColor="accent2"/>
                      </w:rPr>
                      <m:t>j</m:t>
                    </m:r>
                  </m:sub>
                </m:sSub>
                <m:r>
                  <w:rPr>
                    <w:rFonts w:ascii="Cambria Math" w:eastAsiaTheme="minorEastAsia" w:hAnsi="Cambria Math"/>
                  </w:rPr>
                  <m:t>-1</m:t>
                </m:r>
              </m:e>
            </m:d>
          </m:den>
        </m:f>
        <m:r>
          <w:rPr>
            <w:rFonts w:ascii="Cambria Math" w:eastAsiaTheme="minorEastAsia" w:hAnsi="Cambria Math"/>
          </w:rPr>
          <m:t> </m:t>
        </m:r>
      </m:oMath>
      <w:r>
        <w:rPr>
          <w:rFonts w:eastAsiaTheme="minorEastAsia"/>
        </w:rPr>
        <w:t>;</w:t>
      </w:r>
    </w:p>
    <w:p w14:paraId="54B3A5C9" w14:textId="77777777" w:rsidR="00CA764F" w:rsidRPr="00235230" w:rsidRDefault="00CA764F" w:rsidP="00CA764F">
      <w:pPr>
        <w:pStyle w:val="Paragraphedeliste"/>
        <w:numPr>
          <w:ilvl w:val="0"/>
          <w:numId w:val="7"/>
        </w:numPr>
        <w:jc w:val="both"/>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j</m:t>
            </m:r>
          </m:sub>
        </m:sSub>
      </m:oMath>
      <w:r w:rsidRPr="00235230">
        <w:rPr>
          <w:rFonts w:eastAsiaTheme="minorEastAsia"/>
        </w:rPr>
        <w:t xml:space="preserve">  </w:t>
      </w:r>
      <w:r>
        <w:rPr>
          <w:rFonts w:eastAsiaTheme="minorEastAsia"/>
        </w:rPr>
        <w:t>;</w:t>
      </w:r>
    </w:p>
    <w:p w14:paraId="0AEC03CA" w14:textId="77777777" w:rsidR="00CA764F" w:rsidRPr="00235230" w:rsidRDefault="00CA764F" w:rsidP="00CA764F">
      <w:pPr>
        <w:pStyle w:val="Paragraphedeliste"/>
        <w:numPr>
          <w:ilvl w:val="0"/>
          <w:numId w:val="7"/>
        </w:numPr>
        <w:jc w:val="both"/>
      </w:pP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oMath>
      <w:r w:rsidRPr="00235230">
        <w:rPr>
          <w:rFonts w:eastAsiaTheme="minorEastAsia"/>
        </w:rPr>
        <w:t>= nombre d’observations par groupe</w:t>
      </w:r>
      <w:r>
        <w:rPr>
          <w:rFonts w:eastAsiaTheme="minorEastAsia"/>
        </w:rPr>
        <w:t> ;</w:t>
      </w:r>
      <w:r w:rsidRPr="00235230">
        <w:rPr>
          <w:rFonts w:eastAsiaTheme="minorEastAsia"/>
        </w:rPr>
        <w:t xml:space="preserve"> </w:t>
      </w:r>
    </w:p>
    <w:p w14:paraId="1B5A01D9" w14:textId="77777777" w:rsidR="00CA764F" w:rsidRDefault="00CA764F" w:rsidP="00CA764F">
      <w:pPr>
        <w:pStyle w:val="Paragraphedeliste"/>
        <w:numPr>
          <w:ilvl w:val="0"/>
          <w:numId w:val="7"/>
        </w:numPr>
        <w:jc w:val="both"/>
      </w:pP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j</m:t>
            </m:r>
          </m:sub>
        </m:sSub>
      </m:oMath>
      <w:r w:rsidRPr="00235230">
        <w:rPr>
          <w:rFonts w:eastAsiaTheme="minorEastAsia"/>
        </w:rPr>
        <w:t xml:space="preserve">=le nbre d’observations supprimées de chaque côté de la série par le trimming </w:t>
      </w:r>
      <w:r>
        <w:rPr>
          <w:rFonts w:eastAsiaTheme="minorEastAsia"/>
        </w:rPr>
        <w:t>( = 2 dans mon exemple où la série contient 10 observations).</w:t>
      </w:r>
    </w:p>
    <w:p w14:paraId="6705B4C7" w14:textId="77777777" w:rsidR="00CA764F" w:rsidRDefault="00CA764F" w:rsidP="00CA764F">
      <w:pPr>
        <w:ind w:left="360"/>
      </w:pPr>
      <w:r>
        <w:t xml:space="preserve">Et le </w:t>
      </w:r>
      <w:proofErr w:type="spellStart"/>
      <w:r w:rsidRPr="002F75E6">
        <w:rPr>
          <w:i/>
          <w:iCs/>
        </w:rPr>
        <w:t>df</w:t>
      </w:r>
      <w:proofErr w:type="spellEnd"/>
      <w:r>
        <w:t xml:space="preserve"> associés : </w:t>
      </w:r>
    </w:p>
    <w:p w14:paraId="60F5130D" w14:textId="77777777" w:rsidR="00CA764F" w:rsidRDefault="00CA764F" w:rsidP="00CA764F">
      <w:pPr>
        <w:ind w:left="360"/>
        <w:jc w:val="center"/>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ν</m:t>
                  </m:r>
                </m:e>
              </m:acc>
            </m:e>
            <m:sub>
              <m:r>
                <w:rPr>
                  <w:rFonts w:ascii="Cambria Math" w:hAnsi="Cambria Math"/>
                </w:rPr>
                <m:t>y</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e>
                  </m:d>
                </m:e>
                <m:sup>
                  <m:r>
                    <w:rPr>
                      <w:rFonts w:ascii="Cambria Math" w:hAnsi="Cambria Math"/>
                    </w:rPr>
                    <m:t>2</m:t>
                  </m:r>
                </m:sup>
              </m:sSup>
            </m:num>
            <m:den>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-1</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2</m:t>
                      </m:r>
                    </m:sup>
                  </m:sSubSup>
                </m:num>
                <m:den>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-1</m:t>
                  </m:r>
                </m:den>
              </m:f>
            </m:den>
          </m:f>
        </m:oMath>
      </m:oMathPara>
    </w:p>
    <w:p w14:paraId="34E8D4FB" w14:textId="77777777" w:rsidR="00CA764F" w:rsidRPr="006F4714" w:rsidRDefault="00CA764F" w:rsidP="00CA764F">
      <w:pPr>
        <w:pStyle w:val="Paragraphedeliste"/>
        <w:numPr>
          <w:ilvl w:val="0"/>
          <w:numId w:val="18"/>
        </w:numPr>
        <w:rPr>
          <w:b/>
          <w:bCs/>
        </w:rPr>
      </w:pPr>
      <w:r w:rsidRPr="006F4714">
        <w:rPr>
          <w:b/>
          <w:bCs/>
        </w:rPr>
        <w:t xml:space="preserve">En général, le </w:t>
      </w:r>
      <w:proofErr w:type="spellStart"/>
      <w:r w:rsidRPr="006F4714">
        <w:rPr>
          <w:b/>
          <w:bCs/>
        </w:rPr>
        <w:t>trimming</w:t>
      </w:r>
      <w:proofErr w:type="spellEnd"/>
      <w:r w:rsidRPr="006F4714">
        <w:rPr>
          <w:b/>
          <w:bCs/>
        </w:rPr>
        <w:t xml:space="preserve"> = 20%. Mais on peut constater que si le </w:t>
      </w:r>
      <w:proofErr w:type="spellStart"/>
      <w:r w:rsidRPr="006F4714">
        <w:rPr>
          <w:b/>
          <w:bCs/>
        </w:rPr>
        <w:t>trimming</w:t>
      </w:r>
      <w:proofErr w:type="spellEnd"/>
      <w:r w:rsidRPr="006F4714">
        <w:rPr>
          <w:b/>
          <w:bCs/>
        </w:rPr>
        <w:t xml:space="preserve"> était de 0%, le test de </w:t>
      </w:r>
      <w:proofErr w:type="spellStart"/>
      <w:r w:rsidRPr="006F4714">
        <w:rPr>
          <w:b/>
          <w:bCs/>
        </w:rPr>
        <w:t>Yuen</w:t>
      </w:r>
      <w:proofErr w:type="spellEnd"/>
      <w:r w:rsidRPr="006F4714">
        <w:rPr>
          <w:b/>
          <w:bCs/>
        </w:rPr>
        <w:t xml:space="preserve"> serait identique au test de Welch (tant la valeur de la statistique et les </w:t>
      </w:r>
      <w:proofErr w:type="spellStart"/>
      <w:r w:rsidRPr="006F4714">
        <w:rPr>
          <w:b/>
          <w:bCs/>
        </w:rPr>
        <w:t>df</w:t>
      </w:r>
      <w:proofErr w:type="spellEnd"/>
      <w:r w:rsidRPr="006F4714">
        <w:rPr>
          <w:b/>
          <w:bCs/>
        </w:rPr>
        <w:t xml:space="preserve"> et donc forcément, la p-valeur).</w:t>
      </w:r>
    </w:p>
    <w:p w14:paraId="633F734E" w14:textId="77777777" w:rsidR="00CA764F" w:rsidRDefault="00CA764F" w:rsidP="00CA764F">
      <w:r w:rsidRPr="00235230">
        <w:rPr>
          <w:b/>
          <w:bCs/>
        </w:rPr>
        <w:t xml:space="preserve">Preuve pour la statistique </w:t>
      </w:r>
      <w:r w:rsidRPr="00235230">
        <w:rPr>
          <w:b/>
          <w:bCs/>
          <w:i/>
          <w:iCs/>
        </w:rPr>
        <w:t>t</w:t>
      </w:r>
      <w:r>
        <w:rPr>
          <w:b/>
          <w:bCs/>
          <w:i/>
          <w:iCs/>
        </w:rPr>
        <w:t xml:space="preserve"> </w:t>
      </w:r>
      <w:r w:rsidRPr="002F75E6">
        <w:rPr>
          <w:b/>
          <w:bCs/>
        </w:rPr>
        <w:t xml:space="preserve">et les </w:t>
      </w:r>
      <w:proofErr w:type="spellStart"/>
      <w:r>
        <w:rPr>
          <w:b/>
          <w:bCs/>
          <w:i/>
          <w:iCs/>
        </w:rPr>
        <w:t>df</w:t>
      </w:r>
      <w:proofErr w:type="spellEnd"/>
      <w:r>
        <w:rPr>
          <w:i/>
          <w:iCs/>
        </w:rPr>
        <w:t> </w:t>
      </w:r>
      <w:r>
        <w:t>: si on ne supprime aucune observations….</w:t>
      </w:r>
    </w:p>
    <w:p w14:paraId="1437542D" w14:textId="77777777" w:rsidR="00CA764F" w:rsidRPr="00235230" w:rsidRDefault="00CA764F" w:rsidP="00CA764F">
      <w:pPr>
        <w:pStyle w:val="Paragraphedeliste"/>
        <w:numPr>
          <w:ilvl w:val="0"/>
          <w:numId w:val="7"/>
        </w:numPr>
      </w:pPr>
      <w:r>
        <w:t>…</w:t>
      </w:r>
      <w:r w:rsidRPr="003F067A">
        <w:rPr>
          <w:color w:val="00B050"/>
        </w:rPr>
        <w:t xml:space="preserve"> </w:t>
      </w:r>
      <m:oMath>
        <m:sSub>
          <m:sSubPr>
            <m:ctrlPr>
              <w:rPr>
                <w:rFonts w:ascii="Cambria Math" w:hAnsi="Cambria Math"/>
                <w:i/>
                <w:color w:val="00B050"/>
              </w:rPr>
            </m:ctrlPr>
          </m:sSubPr>
          <m:e>
            <m:acc>
              <m:accPr>
                <m:chr m:val="̅"/>
                <m:ctrlPr>
                  <w:rPr>
                    <w:rFonts w:ascii="Cambria Math" w:hAnsi="Cambria Math"/>
                    <w:i/>
                    <w:color w:val="00B050"/>
                  </w:rPr>
                </m:ctrlPr>
              </m:accPr>
              <m:e>
                <m:r>
                  <w:rPr>
                    <w:rFonts w:ascii="Cambria Math" w:hAnsi="Cambria Math"/>
                    <w:color w:val="00B050"/>
                  </w:rPr>
                  <m:t>X</m:t>
                </m:r>
              </m:e>
            </m:acc>
          </m:e>
          <m:sub>
            <m:r>
              <w:rPr>
                <w:rFonts w:ascii="Cambria Math" w:hAnsi="Cambria Math"/>
                <w:color w:val="00B050"/>
              </w:rPr>
              <m:t>tj</m:t>
            </m:r>
          </m:sub>
        </m:sSub>
        <m:r>
          <w:rPr>
            <w:rFonts w:ascii="Cambria Math" w:hAnsi="Cambria Math"/>
            <w:color w:val="00B050"/>
          </w:rPr>
          <m:t>=</m:t>
        </m:r>
        <m:sSub>
          <m:sSubPr>
            <m:ctrlPr>
              <w:rPr>
                <w:rFonts w:ascii="Cambria Math" w:hAnsi="Cambria Math"/>
                <w:i/>
                <w:color w:val="00B050"/>
              </w:rPr>
            </m:ctrlPr>
          </m:sSubPr>
          <m:e>
            <m:acc>
              <m:accPr>
                <m:chr m:val="̅"/>
                <m:ctrlPr>
                  <w:rPr>
                    <w:rFonts w:ascii="Cambria Math" w:hAnsi="Cambria Math"/>
                    <w:i/>
                    <w:color w:val="00B050"/>
                  </w:rPr>
                </m:ctrlPr>
              </m:accPr>
              <m:e>
                <m:r>
                  <w:rPr>
                    <w:rFonts w:ascii="Cambria Math" w:hAnsi="Cambria Math"/>
                    <w:color w:val="00B050"/>
                  </w:rPr>
                  <m:t>X</m:t>
                </m:r>
              </m:e>
            </m:acc>
          </m:e>
          <m:sub>
            <m:r>
              <w:rPr>
                <w:rFonts w:ascii="Cambria Math" w:hAnsi="Cambria Math"/>
                <w:color w:val="00B050"/>
              </w:rPr>
              <m:t>j</m:t>
            </m:r>
          </m:sub>
        </m:sSub>
      </m:oMath>
      <w:r w:rsidRPr="003F067A">
        <w:rPr>
          <w:rFonts w:eastAsiaTheme="minorEastAsia"/>
          <w:color w:val="00B050"/>
        </w:rPr>
        <w:t xml:space="preserve"> </w:t>
      </w:r>
      <w:r>
        <w:rPr>
          <w:rFonts w:eastAsiaTheme="minorEastAsia"/>
          <w:color w:val="000000" w:themeColor="text1"/>
        </w:rPr>
        <w:t>(ça c’est évident).</w:t>
      </w:r>
    </w:p>
    <w:p w14:paraId="29A4F7D9" w14:textId="77777777" w:rsidR="00CA764F" w:rsidRPr="00235230" w:rsidRDefault="00CA764F" w:rsidP="00CA764F">
      <w:pPr>
        <w:pStyle w:val="Paragraphedeliste"/>
        <w:numPr>
          <w:ilvl w:val="0"/>
          <w:numId w:val="7"/>
        </w:numPr>
      </w:pPr>
      <w:r>
        <w:t xml:space="preserv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j</m:t>
            </m:r>
          </m:sub>
        </m:sSub>
        <m:r>
          <w:rPr>
            <w:rFonts w:ascii="Cambria Math" w:eastAsiaTheme="minorEastAsia" w:hAnsi="Cambria Math"/>
          </w:rPr>
          <m:t>=0</m:t>
        </m:r>
        <m:box>
          <m:boxPr>
            <m:opEmu m:val="1"/>
            <m:ctrlPr>
              <w:rPr>
                <w:rFonts w:ascii="Cambria Math" w:eastAsiaTheme="minorEastAsia" w:hAnsi="Cambria Math"/>
                <w:i/>
              </w:rPr>
            </m:ctrlPr>
          </m:boxPr>
          <m:e>
            <m:groupChr>
              <m:groupChrPr>
                <m:chr m:val="↔"/>
                <m:pos m:val="top"/>
                <m:ctrlPr>
                  <w:rPr>
                    <w:rFonts w:ascii="Cambria Math" w:eastAsiaTheme="minorEastAsia" w:hAnsi="Cambria Math"/>
                    <w:i/>
                  </w:rPr>
                </m:ctrlPr>
              </m:groupChrPr>
              <m:e/>
            </m:groupChr>
          </m:e>
        </m:box>
      </m:oMath>
      <w:r>
        <w:rPr>
          <w:rFonts w:eastAsiaTheme="minorEastAsia"/>
        </w:rPr>
        <w:t xml:space="preserve"> </w:t>
      </w:r>
      <m:oMath>
        <m:sSub>
          <m:sSubPr>
            <m:ctrlPr>
              <w:rPr>
                <w:rFonts w:ascii="Cambria Math" w:eastAsiaTheme="minorEastAsia" w:hAnsi="Cambria Math"/>
                <w:b/>
                <w:bCs/>
                <w:i/>
                <w:color w:val="ED7D31" w:themeColor="accent2"/>
              </w:rPr>
            </m:ctrlPr>
          </m:sSubPr>
          <m:e>
            <m:r>
              <m:rPr>
                <m:sty m:val="bi"/>
              </m:rPr>
              <w:rPr>
                <w:rFonts w:ascii="Cambria Math" w:eastAsiaTheme="minorEastAsia" w:hAnsi="Cambria Math"/>
                <w:color w:val="ED7D31" w:themeColor="accent2"/>
              </w:rPr>
              <m:t>h</m:t>
            </m:r>
          </m:e>
          <m:sub>
            <m:r>
              <m:rPr>
                <m:sty m:val="bi"/>
              </m:rPr>
              <w:rPr>
                <w:rFonts w:ascii="Cambria Math" w:eastAsiaTheme="minorEastAsia" w:hAnsi="Cambria Math"/>
                <w:color w:val="ED7D31" w:themeColor="accent2"/>
              </w:rPr>
              <m:t>j</m:t>
            </m:r>
          </m:sub>
        </m:sSub>
        <m:r>
          <m:rPr>
            <m:sty m:val="bi"/>
          </m:rPr>
          <w:rPr>
            <w:rFonts w:ascii="Cambria Math" w:eastAsiaTheme="minorEastAsia" w:hAnsi="Cambria Math"/>
            <w:color w:val="ED7D31" w:themeColor="accent2"/>
          </w:rPr>
          <m:t>=</m:t>
        </m:r>
        <m:sSub>
          <m:sSubPr>
            <m:ctrlPr>
              <w:rPr>
                <w:rFonts w:ascii="Cambria Math" w:eastAsiaTheme="minorEastAsia" w:hAnsi="Cambria Math"/>
                <w:b/>
                <w:bCs/>
                <w:i/>
                <w:color w:val="ED7D31" w:themeColor="accent2"/>
              </w:rPr>
            </m:ctrlPr>
          </m:sSubPr>
          <m:e>
            <m:r>
              <m:rPr>
                <m:sty m:val="bi"/>
              </m:rPr>
              <w:rPr>
                <w:rFonts w:ascii="Cambria Math" w:eastAsiaTheme="minorEastAsia" w:hAnsi="Cambria Math"/>
                <w:color w:val="ED7D31" w:themeColor="accent2"/>
              </w:rPr>
              <m:t>n</m:t>
            </m:r>
          </m:e>
          <m:sub>
            <m:r>
              <m:rPr>
                <m:sty m:val="bi"/>
              </m:rPr>
              <w:rPr>
                <w:rFonts w:ascii="Cambria Math" w:eastAsiaTheme="minorEastAsia" w:hAnsi="Cambria Math"/>
                <w:color w:val="ED7D31" w:themeColor="accent2"/>
              </w:rPr>
              <m:t>j</m:t>
            </m:r>
          </m:sub>
        </m:sSub>
      </m:oMath>
      <w:r>
        <w:rPr>
          <w:rFonts w:eastAsiaTheme="minorEastAsia"/>
          <w:color w:val="ED7D31" w:themeColor="accent2"/>
        </w:rPr>
        <w:t xml:space="preserve"> </w:t>
      </w:r>
      <w:r w:rsidRPr="00235230">
        <w:rPr>
          <w:rFonts w:eastAsiaTheme="minorEastAsia"/>
          <w:color w:val="000000" w:themeColor="text1"/>
        </w:rPr>
        <w:sym w:font="Wingdings" w:char="F0E0"/>
      </w:r>
      <w:r w:rsidRPr="00235230">
        <w:rPr>
          <w:rFonts w:eastAsiaTheme="minorEastAsia"/>
          <w:color w:val="000000" w:themeColor="text1"/>
        </w:rPr>
        <w:t xml:space="preserv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strike/>
                  </w:rPr>
                </m:ctrlPr>
              </m:dPr>
              <m:e>
                <m:sSub>
                  <m:sSubPr>
                    <m:ctrlPr>
                      <w:rPr>
                        <w:rFonts w:ascii="Cambria Math" w:eastAsiaTheme="minorEastAsia" w:hAnsi="Cambria Math"/>
                        <w:b/>
                        <w:bCs/>
                        <w:i/>
                        <w:strike/>
                        <w:color w:val="ED7D31" w:themeColor="accent2"/>
                      </w:rPr>
                    </m:ctrlPr>
                  </m:sSubPr>
                  <m:e>
                    <m:r>
                      <m:rPr>
                        <m:sty m:val="bi"/>
                      </m:rPr>
                      <w:rPr>
                        <w:rFonts w:ascii="Cambria Math" w:eastAsiaTheme="minorEastAsia" w:hAnsi="Cambria Math"/>
                        <w:strike/>
                        <w:color w:val="ED7D31" w:themeColor="accent2"/>
                      </w:rPr>
                      <m:t>n</m:t>
                    </m:r>
                  </m:e>
                  <m:sub>
                    <m:r>
                      <m:rPr>
                        <m:sty m:val="bi"/>
                      </m:rPr>
                      <w:rPr>
                        <w:rFonts w:ascii="Cambria Math" w:eastAsiaTheme="minorEastAsia" w:hAnsi="Cambria Math"/>
                        <w:strike/>
                        <w:color w:val="ED7D31" w:themeColor="accent2"/>
                      </w:rPr>
                      <m:t>j</m:t>
                    </m:r>
                  </m:sub>
                </m:sSub>
                <m:r>
                  <w:rPr>
                    <w:rFonts w:ascii="Cambria Math" w:eastAsiaTheme="minorEastAsia" w:hAnsi="Cambria Math"/>
                    <w:strike/>
                  </w:rPr>
                  <m:t>-1</m:t>
                </m:r>
              </m:e>
            </m:d>
            <m:sSubSup>
              <m:sSubSupPr>
                <m:ctrlPr>
                  <w:rPr>
                    <w:rFonts w:ascii="Cambria Math" w:eastAsiaTheme="minorEastAsia" w:hAnsi="Cambria Math"/>
                    <w:b/>
                    <w:bCs/>
                    <w:i/>
                    <w:color w:val="0070C0"/>
                  </w:rPr>
                </m:ctrlPr>
              </m:sSubSupPr>
              <m:e>
                <m:r>
                  <m:rPr>
                    <m:sty m:val="bi"/>
                  </m:rPr>
                  <w:rPr>
                    <w:rFonts w:ascii="Cambria Math" w:eastAsiaTheme="minorEastAsia" w:hAnsi="Cambria Math"/>
                    <w:color w:val="0070C0"/>
                  </w:rPr>
                  <m:t>S</m:t>
                </m:r>
              </m:e>
              <m:sub>
                <m:r>
                  <m:rPr>
                    <m:sty m:val="bi"/>
                  </m:rPr>
                  <w:rPr>
                    <w:rFonts w:ascii="Cambria Math" w:eastAsiaTheme="minorEastAsia" w:hAnsi="Cambria Math"/>
                    <w:color w:val="0070C0"/>
                  </w:rPr>
                  <m:t>wj</m:t>
                </m:r>
              </m:sub>
              <m:sup>
                <m:r>
                  <m:rPr>
                    <m:sty m:val="bi"/>
                  </m:rPr>
                  <w:rPr>
                    <w:rFonts w:ascii="Cambria Math" w:eastAsiaTheme="minorEastAsia" w:hAnsi="Cambria Math"/>
                    <w:color w:val="0070C0"/>
                  </w:rPr>
                  <m:t>2</m:t>
                </m:r>
              </m:sup>
            </m:sSubSup>
          </m:num>
          <m:den>
            <m:sSub>
              <m:sSubPr>
                <m:ctrlPr>
                  <w:rPr>
                    <w:rFonts w:ascii="Cambria Math" w:eastAsiaTheme="minorEastAsia" w:hAnsi="Cambria Math"/>
                    <w:b/>
                    <w:bCs/>
                    <w:i/>
                    <w:color w:val="ED7D31" w:themeColor="accent2"/>
                  </w:rPr>
                </m:ctrlPr>
              </m:sSubPr>
              <m:e>
                <m:r>
                  <m:rPr>
                    <m:sty m:val="bi"/>
                  </m:rPr>
                  <w:rPr>
                    <w:rFonts w:ascii="Cambria Math" w:eastAsiaTheme="minorEastAsia" w:hAnsi="Cambria Math"/>
                    <w:color w:val="ED7D31" w:themeColor="accent2"/>
                  </w:rPr>
                  <m:t>n</m:t>
                </m:r>
              </m:e>
              <m:sub>
                <m:r>
                  <m:rPr>
                    <m:sty m:val="bi"/>
                  </m:rPr>
                  <w:rPr>
                    <w:rFonts w:ascii="Cambria Math" w:eastAsiaTheme="minorEastAsia" w:hAnsi="Cambria Math"/>
                    <w:color w:val="ED7D31" w:themeColor="accent2"/>
                  </w:rPr>
                  <m:t>j</m:t>
                </m:r>
              </m:sub>
            </m:sSub>
            <m:d>
              <m:dPr>
                <m:ctrlPr>
                  <w:rPr>
                    <w:rFonts w:ascii="Cambria Math" w:eastAsiaTheme="minorEastAsia" w:hAnsi="Cambria Math"/>
                    <w:i/>
                    <w:strike/>
                  </w:rPr>
                </m:ctrlPr>
              </m:dPr>
              <m:e>
                <m:sSub>
                  <m:sSubPr>
                    <m:ctrlPr>
                      <w:rPr>
                        <w:rFonts w:ascii="Cambria Math" w:eastAsiaTheme="minorEastAsia" w:hAnsi="Cambria Math"/>
                        <w:b/>
                        <w:bCs/>
                        <w:i/>
                        <w:strike/>
                        <w:color w:val="ED7D31" w:themeColor="accent2"/>
                      </w:rPr>
                    </m:ctrlPr>
                  </m:sSubPr>
                  <m:e>
                    <m:r>
                      <m:rPr>
                        <m:sty m:val="bi"/>
                      </m:rPr>
                      <w:rPr>
                        <w:rFonts w:ascii="Cambria Math" w:eastAsiaTheme="minorEastAsia" w:hAnsi="Cambria Math"/>
                        <w:strike/>
                        <w:color w:val="ED7D31" w:themeColor="accent2"/>
                      </w:rPr>
                      <m:t>n</m:t>
                    </m:r>
                  </m:e>
                  <m:sub>
                    <m:r>
                      <m:rPr>
                        <m:sty m:val="bi"/>
                      </m:rPr>
                      <w:rPr>
                        <w:rFonts w:ascii="Cambria Math" w:eastAsiaTheme="minorEastAsia" w:hAnsi="Cambria Math"/>
                        <w:strike/>
                        <w:color w:val="ED7D31" w:themeColor="accent2"/>
                      </w:rPr>
                      <m:t>j</m:t>
                    </m:r>
                  </m:sub>
                </m:sSub>
                <m:r>
                  <w:rPr>
                    <w:rFonts w:ascii="Cambria Math" w:eastAsiaTheme="minorEastAsia" w:hAnsi="Cambria Math"/>
                    <w:strike/>
                  </w:rPr>
                  <m:t>-1</m:t>
                </m:r>
              </m:e>
            </m:d>
          </m:den>
        </m:f>
        <m:r>
          <w:rPr>
            <w:rFonts w:ascii="Cambria Math" w:eastAsiaTheme="minorEastAsia" w:hAnsi="Cambria Math"/>
          </w:rPr>
          <m:t xml:space="preserve"> = </m:t>
        </m:r>
        <m:f>
          <m:fPr>
            <m:ctrlPr>
              <w:rPr>
                <w:rFonts w:ascii="Cambria Math" w:eastAsiaTheme="minorEastAsia" w:hAnsi="Cambria Math"/>
                <w:i/>
              </w:rPr>
            </m:ctrlPr>
          </m:fPr>
          <m:num>
            <m:sSubSup>
              <m:sSubSupPr>
                <m:ctrlPr>
                  <w:rPr>
                    <w:rFonts w:ascii="Cambria Math" w:eastAsiaTheme="minorEastAsia" w:hAnsi="Cambria Math"/>
                    <w:b/>
                    <w:bCs/>
                    <w:i/>
                    <w:color w:val="0070C0"/>
                  </w:rPr>
                </m:ctrlPr>
              </m:sSubSupPr>
              <m:e>
                <m:r>
                  <m:rPr>
                    <m:sty m:val="bi"/>
                  </m:rPr>
                  <w:rPr>
                    <w:rFonts w:ascii="Cambria Math" w:eastAsiaTheme="minorEastAsia" w:hAnsi="Cambria Math"/>
                    <w:color w:val="0070C0"/>
                  </w:rPr>
                  <m:t>S</m:t>
                </m:r>
              </m:e>
              <m:sub>
                <m:r>
                  <m:rPr>
                    <m:sty m:val="bi"/>
                  </m:rPr>
                  <w:rPr>
                    <w:rFonts w:ascii="Cambria Math" w:eastAsiaTheme="minorEastAsia" w:hAnsi="Cambria Math"/>
                    <w:color w:val="0070C0"/>
                  </w:rPr>
                  <m:t>wj</m:t>
                </m:r>
              </m:sub>
              <m:sup>
                <m:r>
                  <m:rPr>
                    <m:sty m:val="bi"/>
                  </m:rPr>
                  <w:rPr>
                    <w:rFonts w:ascii="Cambria Math" w:eastAsiaTheme="minorEastAsia" w:hAnsi="Cambria Math"/>
                    <w:color w:val="0070C0"/>
                  </w:rPr>
                  <m:t>2</m:t>
                </m:r>
              </m:sup>
            </m:sSubSup>
          </m:num>
          <m:den>
            <m:sSub>
              <m:sSubPr>
                <m:ctrlPr>
                  <w:rPr>
                    <w:rFonts w:ascii="Cambria Math" w:eastAsiaTheme="minorEastAsia" w:hAnsi="Cambria Math"/>
                    <w:b/>
                    <w:bCs/>
                    <w:i/>
                    <w:color w:val="ED7D31" w:themeColor="accent2"/>
                  </w:rPr>
                </m:ctrlPr>
              </m:sSubPr>
              <m:e>
                <m:r>
                  <m:rPr>
                    <m:sty m:val="bi"/>
                  </m:rPr>
                  <w:rPr>
                    <w:rFonts w:ascii="Cambria Math" w:eastAsiaTheme="minorEastAsia" w:hAnsi="Cambria Math"/>
                    <w:color w:val="ED7D31" w:themeColor="accent2"/>
                  </w:rPr>
                  <m:t>n</m:t>
                </m:r>
              </m:e>
              <m:sub>
                <m:r>
                  <m:rPr>
                    <m:sty m:val="bi"/>
                  </m:rPr>
                  <w:rPr>
                    <w:rFonts w:ascii="Cambria Math" w:eastAsiaTheme="minorEastAsia" w:hAnsi="Cambria Math"/>
                    <w:color w:val="ED7D31" w:themeColor="accent2"/>
                  </w:rPr>
                  <m:t>j</m:t>
                </m:r>
              </m:sub>
            </m:sSub>
          </m:den>
        </m:f>
      </m:oMath>
    </w:p>
    <w:p w14:paraId="38C50DD5" w14:textId="77777777" w:rsidR="00CA764F" w:rsidRPr="00235230" w:rsidRDefault="00CA764F" w:rsidP="00CA764F">
      <w:pPr>
        <w:pStyle w:val="Paragraphedeliste"/>
        <w:numPr>
          <w:ilvl w:val="0"/>
          <w:numId w:val="7"/>
        </w:numPr>
      </w:pPr>
      <m:oMath>
        <m:sSubSup>
          <m:sSubSupPr>
            <m:ctrlPr>
              <w:rPr>
                <w:rFonts w:ascii="Cambria Math" w:eastAsiaTheme="minorEastAsia" w:hAnsi="Cambria Math"/>
                <w:b/>
                <w:bCs/>
                <w:i/>
                <w:color w:val="0070C0"/>
              </w:rPr>
            </m:ctrlPr>
          </m:sSubSupPr>
          <m:e>
            <m:r>
              <m:rPr>
                <m:sty m:val="bi"/>
              </m:rPr>
              <w:rPr>
                <w:rFonts w:ascii="Cambria Math" w:eastAsiaTheme="minorEastAsia" w:hAnsi="Cambria Math"/>
                <w:color w:val="0070C0"/>
              </w:rPr>
              <m:t>S</m:t>
            </m:r>
          </m:e>
          <m:sub>
            <m:r>
              <m:rPr>
                <m:sty m:val="bi"/>
              </m:rPr>
              <w:rPr>
                <w:rFonts w:ascii="Cambria Math" w:eastAsiaTheme="minorEastAsia" w:hAnsi="Cambria Math"/>
                <w:color w:val="0070C0"/>
              </w:rPr>
              <m:t>wj</m:t>
            </m:r>
          </m:sub>
          <m:sup>
            <m:r>
              <m:rPr>
                <m:sty m:val="bi"/>
              </m:rPr>
              <w:rPr>
                <w:rFonts w:ascii="Cambria Math" w:eastAsiaTheme="minorEastAsia" w:hAnsi="Cambria Math"/>
                <w:color w:val="0070C0"/>
              </w:rPr>
              <m:t>2</m:t>
            </m:r>
          </m:sup>
        </m:sSubSup>
      </m:oMath>
      <w:r w:rsidRPr="00235230">
        <w:rPr>
          <w:rFonts w:eastAsiaTheme="minorEastAsia"/>
          <w:b/>
          <w:bCs/>
          <w:color w:val="0070C0"/>
        </w:rPr>
        <w:t>=</w:t>
      </w:r>
      <m:oMath>
        <m:sSubSup>
          <m:sSubSupPr>
            <m:ctrlPr>
              <w:rPr>
                <w:rFonts w:ascii="Cambria Math" w:eastAsiaTheme="minorEastAsia" w:hAnsi="Cambria Math"/>
                <w:b/>
                <w:bCs/>
                <w:i/>
                <w:color w:val="0070C0"/>
              </w:rPr>
            </m:ctrlPr>
          </m:sSubSupPr>
          <m:e>
            <m:r>
              <m:rPr>
                <m:sty m:val="bi"/>
              </m:rPr>
              <w:rPr>
                <w:rFonts w:ascii="Cambria Math" w:eastAsiaTheme="minorEastAsia" w:hAnsi="Cambria Math"/>
                <w:color w:val="0070C0"/>
              </w:rPr>
              <m:t>S</m:t>
            </m:r>
          </m:e>
          <m:sub>
            <m:r>
              <m:rPr>
                <m:sty m:val="bi"/>
              </m:rPr>
              <w:rPr>
                <w:rFonts w:ascii="Cambria Math" w:eastAsiaTheme="minorEastAsia" w:hAnsi="Cambria Math"/>
                <w:color w:val="0070C0"/>
              </w:rPr>
              <m:t>j</m:t>
            </m:r>
          </m:sub>
          <m:sup>
            <m:r>
              <m:rPr>
                <m:sty m:val="bi"/>
              </m:rPr>
              <w:rPr>
                <w:rFonts w:ascii="Cambria Math" w:eastAsiaTheme="minorEastAsia" w:hAnsi="Cambria Math"/>
                <w:color w:val="0070C0"/>
              </w:rPr>
              <m:t>2</m:t>
            </m:r>
          </m:sup>
        </m:sSubSup>
      </m:oMath>
      <w:r w:rsidRPr="00235230">
        <w:rPr>
          <w:rFonts w:eastAsiaTheme="minorEastAsia"/>
          <w:b/>
          <w:bCs/>
          <w:color w:val="0070C0"/>
        </w:rPr>
        <w:t xml:space="preserve"> </w:t>
      </w:r>
      <w:r w:rsidRPr="00235230">
        <w:rPr>
          <w:rFonts w:eastAsiaTheme="minorEastAsia"/>
          <w:color w:val="000000" w:themeColor="text1"/>
        </w:rPr>
        <w:t>(aucune valeur de la série d’origine n’a été remplacée puisqu’on n’a supprimé aucune observation au départ)</w:t>
      </w:r>
      <w:r>
        <w:rPr>
          <w:rFonts w:eastAsiaTheme="minorEastAsia"/>
          <w:color w:val="000000" w:themeColor="text1"/>
        </w:rPr>
        <w:t xml:space="preserve"> </w:t>
      </w:r>
      <w:r w:rsidRPr="00235230">
        <w:rPr>
          <w:rFonts w:eastAsiaTheme="minorEastAsia"/>
          <w:color w:val="000000" w:themeColor="text1"/>
        </w:rPr>
        <w:sym w:font="Wingdings" w:char="F0E0"/>
      </w:r>
      <w:r>
        <w:rPr>
          <w:rFonts w:eastAsiaTheme="minorEastAsia"/>
          <w:color w:val="000000" w:themeColor="text1"/>
        </w:rPr>
        <w:t xml:space="preserve"> </w:t>
      </w:r>
      <m:oMath>
        <m:sSub>
          <m:sSubPr>
            <m:ctrlPr>
              <w:rPr>
                <w:rFonts w:ascii="Cambria Math" w:eastAsiaTheme="minorEastAsia" w:hAnsi="Cambria Math"/>
                <w:b/>
                <w:bCs/>
                <w:i/>
                <w:color w:val="7030A0"/>
              </w:rPr>
            </m:ctrlPr>
          </m:sSubPr>
          <m:e>
            <m:r>
              <m:rPr>
                <m:sty m:val="bi"/>
              </m:rPr>
              <w:rPr>
                <w:rFonts w:ascii="Cambria Math" w:eastAsiaTheme="minorEastAsia" w:hAnsi="Cambria Math"/>
                <w:color w:val="7030A0"/>
              </w:rPr>
              <m:t>d</m:t>
            </m:r>
          </m:e>
          <m:sub>
            <m:r>
              <m:rPr>
                <m:sty m:val="bi"/>
              </m:rPr>
              <w:rPr>
                <w:rFonts w:ascii="Cambria Math" w:eastAsiaTheme="minorEastAsia" w:hAnsi="Cambria Math"/>
                <w:color w:val="7030A0"/>
              </w:rPr>
              <m:t>j</m:t>
            </m:r>
          </m:sub>
        </m:sSub>
        <m:r>
          <m:rPr>
            <m:sty m:val="bi"/>
          </m:rPr>
          <w:rPr>
            <w:rFonts w:ascii="Cambria Math" w:eastAsiaTheme="minorEastAsia" w:hAnsi="Cambria Math"/>
            <w:color w:val="7030A0"/>
          </w:rPr>
          <m:t>=</m:t>
        </m:r>
        <m:f>
          <m:fPr>
            <m:ctrlPr>
              <w:rPr>
                <w:rFonts w:ascii="Cambria Math" w:eastAsiaTheme="minorEastAsia" w:hAnsi="Cambria Math"/>
                <w:b/>
                <w:bCs/>
                <w:i/>
                <w:color w:val="7030A0"/>
              </w:rPr>
            </m:ctrlPr>
          </m:fPr>
          <m:num>
            <m:sSubSup>
              <m:sSubSupPr>
                <m:ctrlPr>
                  <w:rPr>
                    <w:rFonts w:ascii="Cambria Math" w:eastAsiaTheme="minorEastAsia" w:hAnsi="Cambria Math"/>
                    <w:b/>
                    <w:bCs/>
                    <w:i/>
                    <w:color w:val="7030A0"/>
                  </w:rPr>
                </m:ctrlPr>
              </m:sSubSupPr>
              <m:e>
                <m:r>
                  <m:rPr>
                    <m:sty m:val="bi"/>
                  </m:rPr>
                  <w:rPr>
                    <w:rFonts w:ascii="Cambria Math" w:eastAsiaTheme="minorEastAsia" w:hAnsi="Cambria Math"/>
                    <w:color w:val="7030A0"/>
                  </w:rPr>
                  <m:t>S</m:t>
                </m:r>
              </m:e>
              <m:sub>
                <m:r>
                  <m:rPr>
                    <m:sty m:val="bi"/>
                  </m:rPr>
                  <w:rPr>
                    <w:rFonts w:ascii="Cambria Math" w:eastAsiaTheme="minorEastAsia" w:hAnsi="Cambria Math"/>
                    <w:color w:val="7030A0"/>
                  </w:rPr>
                  <m:t>j</m:t>
                </m:r>
              </m:sub>
              <m:sup>
                <m:r>
                  <m:rPr>
                    <m:sty m:val="bi"/>
                  </m:rPr>
                  <w:rPr>
                    <w:rFonts w:ascii="Cambria Math" w:eastAsiaTheme="minorEastAsia" w:hAnsi="Cambria Math"/>
                    <w:color w:val="7030A0"/>
                  </w:rPr>
                  <m:t>2</m:t>
                </m:r>
              </m:sup>
            </m:sSubSup>
          </m:num>
          <m:den>
            <m:sSub>
              <m:sSubPr>
                <m:ctrlPr>
                  <w:rPr>
                    <w:rFonts w:ascii="Cambria Math" w:eastAsiaTheme="minorEastAsia" w:hAnsi="Cambria Math"/>
                    <w:b/>
                    <w:bCs/>
                    <w:i/>
                    <w:color w:val="7030A0"/>
                  </w:rPr>
                </m:ctrlPr>
              </m:sSubPr>
              <m:e>
                <m:r>
                  <m:rPr>
                    <m:sty m:val="bi"/>
                  </m:rPr>
                  <w:rPr>
                    <w:rFonts w:ascii="Cambria Math" w:eastAsiaTheme="minorEastAsia" w:hAnsi="Cambria Math"/>
                    <w:color w:val="7030A0"/>
                  </w:rPr>
                  <m:t>n</m:t>
                </m:r>
              </m:e>
              <m:sub>
                <m:r>
                  <m:rPr>
                    <m:sty m:val="bi"/>
                  </m:rPr>
                  <w:rPr>
                    <w:rFonts w:ascii="Cambria Math" w:eastAsiaTheme="minorEastAsia" w:hAnsi="Cambria Math"/>
                    <w:color w:val="7030A0"/>
                  </w:rPr>
                  <m:t>j</m:t>
                </m:r>
              </m:sub>
            </m:sSub>
          </m:den>
        </m:f>
      </m:oMath>
    </w:p>
    <w:p w14:paraId="7AB08196" w14:textId="77777777" w:rsidR="00CA764F" w:rsidRPr="002F75E6" w:rsidRDefault="00CA764F" w:rsidP="00CA764F">
      <w:pPr>
        <w:pStyle w:val="Paragraphedeliste"/>
        <w:numPr>
          <w:ilvl w:val="0"/>
          <w:numId w:val="9"/>
        </w:numPr>
        <w:jc w:val="both"/>
      </w:pPr>
      <w:r w:rsidRPr="00235230">
        <w:t xml:space="preserve">In fine, </w:t>
      </w:r>
      <m:oMath>
        <m:sSub>
          <m:sSubPr>
            <m:ctrlPr>
              <w:rPr>
                <w:rFonts w:ascii="Cambria Math" w:hAnsi="Cambria Math"/>
                <w:i/>
              </w:rPr>
            </m:ctrlPr>
          </m:sSubPr>
          <m:e>
            <m:r>
              <w:rPr>
                <w:rFonts w:ascii="Cambria Math" w:hAnsi="Cambria Math"/>
              </w:rPr>
              <m:t>T</m:t>
            </m:r>
          </m:e>
          <m:sub>
            <m:r>
              <w:rPr>
                <w:rFonts w:ascii="Cambria Math" w:hAnsi="Cambria Math"/>
              </w:rPr>
              <m:t>y</m:t>
            </m:r>
          </m:sub>
        </m:sSub>
        <m:r>
          <w:rPr>
            <w:rFonts w:ascii="Cambria Math" w:hAnsi="Cambria Math"/>
          </w:rPr>
          <m:t>=</m:t>
        </m:r>
        <m:f>
          <m:fPr>
            <m:ctrlPr>
              <w:rPr>
                <w:rFonts w:ascii="Cambria Math" w:hAnsi="Cambria Math"/>
                <w:i/>
              </w:rPr>
            </m:ctrlPr>
          </m:fPr>
          <m:num>
            <m:sSub>
              <m:sSubPr>
                <m:ctrlPr>
                  <w:rPr>
                    <w:rFonts w:ascii="Cambria Math" w:hAnsi="Cambria Math"/>
                    <w:b/>
                    <w:bCs/>
                    <w:i/>
                    <w:color w:val="00B050"/>
                  </w:rPr>
                </m:ctrlPr>
              </m:sSubPr>
              <m:e>
                <m:acc>
                  <m:accPr>
                    <m:chr m:val="̅"/>
                    <m:ctrlPr>
                      <w:rPr>
                        <w:rFonts w:ascii="Cambria Math" w:hAnsi="Cambria Math"/>
                        <w:b/>
                        <w:bCs/>
                        <w:i/>
                        <w:color w:val="00B050"/>
                      </w:rPr>
                    </m:ctrlPr>
                  </m:accPr>
                  <m:e>
                    <m:r>
                      <m:rPr>
                        <m:sty m:val="bi"/>
                      </m:rPr>
                      <w:rPr>
                        <w:rFonts w:ascii="Cambria Math" w:hAnsi="Cambria Math"/>
                        <w:color w:val="00B050"/>
                      </w:rPr>
                      <m:t>X</m:t>
                    </m:r>
                  </m:e>
                </m:acc>
              </m:e>
              <m:sub>
                <m:r>
                  <m:rPr>
                    <m:sty m:val="bi"/>
                  </m:rPr>
                  <w:rPr>
                    <w:rFonts w:ascii="Cambria Math" w:hAnsi="Cambria Math"/>
                    <w:color w:val="00B050"/>
                  </w:rPr>
                  <m:t>t</m:t>
                </m:r>
                <m:r>
                  <m:rPr>
                    <m:sty m:val="bi"/>
                  </m:rPr>
                  <w:rPr>
                    <w:rFonts w:ascii="Cambria Math" w:hAnsi="Cambria Math"/>
                    <w:color w:val="00B050"/>
                  </w:rPr>
                  <m:t>1</m:t>
                </m:r>
              </m:sub>
            </m:sSub>
            <m:r>
              <w:rPr>
                <w:rFonts w:ascii="Cambria Math" w:hAnsi="Cambria Math"/>
                <w:color w:val="00B050"/>
              </w:rPr>
              <m:t>-</m:t>
            </m:r>
            <m:sSub>
              <m:sSubPr>
                <m:ctrlPr>
                  <w:rPr>
                    <w:rFonts w:ascii="Cambria Math" w:hAnsi="Cambria Math"/>
                    <w:b/>
                    <w:bCs/>
                    <w:i/>
                    <w:color w:val="00B050"/>
                  </w:rPr>
                </m:ctrlPr>
              </m:sSubPr>
              <m:e>
                <m:acc>
                  <m:accPr>
                    <m:chr m:val="̅"/>
                    <m:ctrlPr>
                      <w:rPr>
                        <w:rFonts w:ascii="Cambria Math" w:hAnsi="Cambria Math"/>
                        <w:b/>
                        <w:bCs/>
                        <w:i/>
                        <w:color w:val="00B050"/>
                      </w:rPr>
                    </m:ctrlPr>
                  </m:accPr>
                  <m:e>
                    <m:r>
                      <m:rPr>
                        <m:sty m:val="bi"/>
                      </m:rPr>
                      <w:rPr>
                        <w:rFonts w:ascii="Cambria Math" w:hAnsi="Cambria Math"/>
                        <w:color w:val="00B050"/>
                      </w:rPr>
                      <m:t>X</m:t>
                    </m:r>
                  </m:e>
                </m:acc>
              </m:e>
              <m:sub>
                <m:r>
                  <m:rPr>
                    <m:sty m:val="bi"/>
                  </m:rPr>
                  <w:rPr>
                    <w:rFonts w:ascii="Cambria Math" w:hAnsi="Cambria Math"/>
                    <w:color w:val="00B050"/>
                  </w:rPr>
                  <m:t>t</m:t>
                </m:r>
                <m:r>
                  <m:rPr>
                    <m:sty m:val="bi"/>
                  </m:rPr>
                  <w:rPr>
                    <w:rFonts w:ascii="Cambria Math" w:hAnsi="Cambria Math"/>
                    <w:color w:val="00B050"/>
                  </w:rPr>
                  <m:t>2</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e>
            </m:rad>
          </m:den>
        </m:f>
        <m:r>
          <w:rPr>
            <w:rFonts w:ascii="Cambria Math" w:hAnsi="Cambria Math"/>
          </w:rPr>
          <m:t>=</m:t>
        </m:r>
        <m:f>
          <m:fPr>
            <m:ctrlPr>
              <w:rPr>
                <w:rFonts w:ascii="Cambria Math" w:hAnsi="Cambria Math"/>
                <w:i/>
              </w:rPr>
            </m:ctrlPr>
          </m:fPr>
          <m:num>
            <m:sSub>
              <m:sSubPr>
                <m:ctrlPr>
                  <w:rPr>
                    <w:rFonts w:ascii="Cambria Math" w:hAnsi="Cambria Math"/>
                    <w:b/>
                    <w:bCs/>
                    <w:i/>
                    <w:color w:val="00B050"/>
                  </w:rPr>
                </m:ctrlPr>
              </m:sSubPr>
              <m:e>
                <m:acc>
                  <m:accPr>
                    <m:chr m:val="̅"/>
                    <m:ctrlPr>
                      <w:rPr>
                        <w:rFonts w:ascii="Cambria Math" w:hAnsi="Cambria Math"/>
                        <w:b/>
                        <w:bCs/>
                        <w:i/>
                        <w:color w:val="00B050"/>
                      </w:rPr>
                    </m:ctrlPr>
                  </m:accPr>
                  <m:e>
                    <m:r>
                      <m:rPr>
                        <m:sty m:val="bi"/>
                      </m:rPr>
                      <w:rPr>
                        <w:rFonts w:ascii="Cambria Math" w:hAnsi="Cambria Math"/>
                        <w:color w:val="00B050"/>
                      </w:rPr>
                      <m:t>X</m:t>
                    </m:r>
                  </m:e>
                </m:acc>
              </m:e>
              <m:sub>
                <m:r>
                  <m:rPr>
                    <m:sty m:val="bi"/>
                  </m:rPr>
                  <w:rPr>
                    <w:rFonts w:ascii="Cambria Math" w:hAnsi="Cambria Math"/>
                    <w:color w:val="00B050"/>
                  </w:rPr>
                  <m:t>1</m:t>
                </m:r>
              </m:sub>
            </m:sSub>
            <m:r>
              <w:rPr>
                <w:rFonts w:ascii="Cambria Math" w:hAnsi="Cambria Math"/>
                <w:color w:val="00B050"/>
              </w:rPr>
              <m:t>-</m:t>
            </m:r>
            <m:sSub>
              <m:sSubPr>
                <m:ctrlPr>
                  <w:rPr>
                    <w:rFonts w:ascii="Cambria Math" w:hAnsi="Cambria Math"/>
                    <w:b/>
                    <w:bCs/>
                    <w:i/>
                    <w:color w:val="00B050"/>
                  </w:rPr>
                </m:ctrlPr>
              </m:sSubPr>
              <m:e>
                <m:acc>
                  <m:accPr>
                    <m:chr m:val="̅"/>
                    <m:ctrlPr>
                      <w:rPr>
                        <w:rFonts w:ascii="Cambria Math" w:hAnsi="Cambria Math"/>
                        <w:b/>
                        <w:bCs/>
                        <w:i/>
                        <w:color w:val="00B050"/>
                      </w:rPr>
                    </m:ctrlPr>
                  </m:accPr>
                  <m:e>
                    <m:r>
                      <m:rPr>
                        <m:sty m:val="bi"/>
                      </m:rPr>
                      <w:rPr>
                        <w:rFonts w:ascii="Cambria Math" w:hAnsi="Cambria Math"/>
                        <w:color w:val="00B050"/>
                      </w:rPr>
                      <m:t>X</m:t>
                    </m:r>
                  </m:e>
                </m:acc>
              </m:e>
              <m:sub>
                <m:r>
                  <m:rPr>
                    <m:sty m:val="bi"/>
                  </m:rPr>
                  <w:rPr>
                    <w:rFonts w:ascii="Cambria Math" w:hAnsi="Cambria Math"/>
                    <w:color w:val="00B050"/>
                  </w:rPr>
                  <m:t>2</m:t>
                </m:r>
              </m:sub>
            </m:sSub>
          </m:num>
          <m:den>
            <m:rad>
              <m:radPr>
                <m:degHide m:val="1"/>
                <m:ctrlPr>
                  <w:rPr>
                    <w:rFonts w:ascii="Cambria Math" w:hAnsi="Cambria Math"/>
                    <w:i/>
                  </w:rPr>
                </m:ctrlPr>
              </m:radPr>
              <m:deg/>
              <m:e>
                <m:f>
                  <m:fPr>
                    <m:ctrlPr>
                      <w:rPr>
                        <w:rFonts w:ascii="Cambria Math" w:eastAsiaTheme="minorEastAsia" w:hAnsi="Cambria Math"/>
                        <w:i/>
                      </w:rPr>
                    </m:ctrlPr>
                  </m:fPr>
                  <m:num>
                    <m:sSubSup>
                      <m:sSubSupPr>
                        <m:ctrlPr>
                          <w:rPr>
                            <w:rFonts w:ascii="Cambria Math" w:eastAsiaTheme="minorEastAsia" w:hAnsi="Cambria Math"/>
                            <w:b/>
                            <w:bCs/>
                            <w:i/>
                            <w:color w:val="0070C0"/>
                          </w:rPr>
                        </m:ctrlPr>
                      </m:sSubSupPr>
                      <m:e>
                        <m:r>
                          <m:rPr>
                            <m:sty m:val="bi"/>
                          </m:rPr>
                          <w:rPr>
                            <w:rFonts w:ascii="Cambria Math" w:eastAsiaTheme="minorEastAsia" w:hAnsi="Cambria Math"/>
                            <w:color w:val="0070C0"/>
                          </w:rPr>
                          <m:t>S</m:t>
                        </m:r>
                      </m:e>
                      <m:sub>
                        <m:r>
                          <m:rPr>
                            <m:sty m:val="bi"/>
                          </m:rPr>
                          <w:rPr>
                            <w:rFonts w:ascii="Cambria Math" w:eastAsiaTheme="minorEastAsia" w:hAnsi="Cambria Math"/>
                            <w:color w:val="0070C0"/>
                          </w:rPr>
                          <m:t>1</m:t>
                        </m:r>
                      </m:sub>
                      <m:sup>
                        <m:r>
                          <m:rPr>
                            <m:sty m:val="bi"/>
                          </m:rPr>
                          <w:rPr>
                            <w:rFonts w:ascii="Cambria Math" w:eastAsiaTheme="minorEastAsia" w:hAnsi="Cambria Math"/>
                            <w:color w:val="0070C0"/>
                          </w:rPr>
                          <m:t>2</m:t>
                        </m:r>
                      </m:sup>
                    </m:sSubSup>
                  </m:num>
                  <m:den>
                    <m:sSub>
                      <m:sSubPr>
                        <m:ctrlPr>
                          <w:rPr>
                            <w:rFonts w:ascii="Cambria Math" w:eastAsiaTheme="minorEastAsia" w:hAnsi="Cambria Math"/>
                            <w:b/>
                            <w:bCs/>
                            <w:i/>
                            <w:color w:val="ED7D31" w:themeColor="accent2"/>
                          </w:rPr>
                        </m:ctrlPr>
                      </m:sSubPr>
                      <m:e>
                        <m:r>
                          <m:rPr>
                            <m:sty m:val="bi"/>
                          </m:rPr>
                          <w:rPr>
                            <w:rFonts w:ascii="Cambria Math" w:eastAsiaTheme="minorEastAsia" w:hAnsi="Cambria Math"/>
                            <w:color w:val="ED7D31" w:themeColor="accent2"/>
                          </w:rPr>
                          <m:t>n</m:t>
                        </m:r>
                      </m:e>
                      <m:sub>
                        <m:r>
                          <m:rPr>
                            <m:sty m:val="bi"/>
                          </m:rPr>
                          <w:rPr>
                            <w:rFonts w:ascii="Cambria Math" w:eastAsiaTheme="minorEastAsia" w:hAnsi="Cambria Math"/>
                            <w:color w:val="ED7D31" w:themeColor="accent2"/>
                          </w:rPr>
                          <m:t>1</m:t>
                        </m:r>
                      </m:sub>
                    </m:sSub>
                  </m:den>
                </m:f>
                <m:r>
                  <w:rPr>
                    <w:rFonts w:ascii="Cambria Math" w:hAnsi="Cambria Math"/>
                  </w:rPr>
                  <m:t>+</m:t>
                </m:r>
                <m:f>
                  <m:fPr>
                    <m:ctrlPr>
                      <w:rPr>
                        <w:rFonts w:ascii="Cambria Math" w:eastAsiaTheme="minorEastAsia" w:hAnsi="Cambria Math"/>
                        <w:i/>
                      </w:rPr>
                    </m:ctrlPr>
                  </m:fPr>
                  <m:num>
                    <m:sSubSup>
                      <m:sSubSupPr>
                        <m:ctrlPr>
                          <w:rPr>
                            <w:rFonts w:ascii="Cambria Math" w:eastAsiaTheme="minorEastAsia" w:hAnsi="Cambria Math"/>
                            <w:b/>
                            <w:bCs/>
                            <w:i/>
                            <w:color w:val="0070C0"/>
                          </w:rPr>
                        </m:ctrlPr>
                      </m:sSubSupPr>
                      <m:e>
                        <m:r>
                          <m:rPr>
                            <m:sty m:val="bi"/>
                          </m:rPr>
                          <w:rPr>
                            <w:rFonts w:ascii="Cambria Math" w:eastAsiaTheme="minorEastAsia" w:hAnsi="Cambria Math"/>
                            <w:color w:val="0070C0"/>
                          </w:rPr>
                          <m:t>S</m:t>
                        </m:r>
                      </m:e>
                      <m:sub>
                        <m:r>
                          <m:rPr>
                            <m:sty m:val="bi"/>
                          </m:rPr>
                          <w:rPr>
                            <w:rFonts w:ascii="Cambria Math" w:eastAsiaTheme="minorEastAsia" w:hAnsi="Cambria Math"/>
                            <w:color w:val="0070C0"/>
                          </w:rPr>
                          <m:t>2</m:t>
                        </m:r>
                      </m:sub>
                      <m:sup>
                        <m:r>
                          <m:rPr>
                            <m:sty m:val="bi"/>
                          </m:rPr>
                          <w:rPr>
                            <w:rFonts w:ascii="Cambria Math" w:eastAsiaTheme="minorEastAsia" w:hAnsi="Cambria Math"/>
                            <w:color w:val="0070C0"/>
                          </w:rPr>
                          <m:t>2</m:t>
                        </m:r>
                      </m:sup>
                    </m:sSubSup>
                  </m:num>
                  <m:den>
                    <m:sSub>
                      <m:sSubPr>
                        <m:ctrlPr>
                          <w:rPr>
                            <w:rFonts w:ascii="Cambria Math" w:eastAsiaTheme="minorEastAsia" w:hAnsi="Cambria Math"/>
                            <w:b/>
                            <w:bCs/>
                            <w:i/>
                            <w:color w:val="ED7D31" w:themeColor="accent2"/>
                          </w:rPr>
                        </m:ctrlPr>
                      </m:sSubPr>
                      <m:e>
                        <m:r>
                          <m:rPr>
                            <m:sty m:val="bi"/>
                          </m:rPr>
                          <w:rPr>
                            <w:rFonts w:ascii="Cambria Math" w:eastAsiaTheme="minorEastAsia" w:hAnsi="Cambria Math"/>
                            <w:color w:val="ED7D31" w:themeColor="accent2"/>
                          </w:rPr>
                          <m:t>n</m:t>
                        </m:r>
                      </m:e>
                      <m:sub>
                        <m:r>
                          <m:rPr>
                            <m:sty m:val="bi"/>
                          </m:rPr>
                          <w:rPr>
                            <w:rFonts w:ascii="Cambria Math" w:eastAsiaTheme="minorEastAsia" w:hAnsi="Cambria Math"/>
                            <w:color w:val="ED7D31" w:themeColor="accent2"/>
                          </w:rPr>
                          <m:t>2</m:t>
                        </m:r>
                      </m:sub>
                    </m:sSub>
                  </m:den>
                </m:f>
              </m:e>
            </m:rad>
          </m:den>
        </m:f>
      </m:oMath>
      <w:r w:rsidRPr="00235230">
        <w:rPr>
          <w:rFonts w:eastAsiaTheme="minorEastAsia"/>
        </w:rPr>
        <w:t xml:space="preserve"> , ce qui</w:t>
      </w:r>
      <w:r>
        <w:rPr>
          <w:rFonts w:eastAsiaTheme="minorEastAsia"/>
        </w:rPr>
        <w:t xml:space="preserve"> est bien la statistique de Welch</w:t>
      </w:r>
    </w:p>
    <w:p w14:paraId="60685632" w14:textId="77777777" w:rsidR="00CA764F" w:rsidRPr="002F75E6" w:rsidRDefault="00CA764F" w:rsidP="00CA764F">
      <w:pPr>
        <w:pStyle w:val="Paragraphedeliste"/>
        <w:numPr>
          <w:ilvl w:val="0"/>
          <w:numId w:val="9"/>
        </w:numPr>
        <w:jc w:val="both"/>
        <w:rPr>
          <w:rFonts w:eastAsiaTheme="minorEastAsia"/>
        </w:rPr>
      </w:pPr>
      <w:r>
        <w:rPr>
          <w:rFonts w:eastAsiaTheme="minorEastAsia"/>
        </w:rPr>
        <w:lastRenderedPageBreak/>
        <w:t xml:space="preserve">Et </w:t>
      </w:r>
      <m:oMath>
        <m:sSub>
          <m:sSubPr>
            <m:ctrlPr>
              <w:rPr>
                <w:rFonts w:ascii="Cambria Math" w:hAnsi="Cambria Math"/>
                <w:i/>
              </w:rPr>
            </m:ctrlPr>
          </m:sSubPr>
          <m:e>
            <m:acc>
              <m:accPr>
                <m:ctrlPr>
                  <w:rPr>
                    <w:rFonts w:ascii="Cambria Math" w:hAnsi="Cambria Math"/>
                    <w:i/>
                  </w:rPr>
                </m:ctrlPr>
              </m:accPr>
              <m:e>
                <m:r>
                  <w:rPr>
                    <w:rFonts w:ascii="Cambria Math" w:hAnsi="Cambria Math"/>
                  </w:rPr>
                  <m:t>ν</m:t>
                </m:r>
              </m:e>
            </m:acc>
          </m:e>
          <m:sub>
            <m:r>
              <w:rPr>
                <w:rFonts w:ascii="Cambria Math" w:hAnsi="Cambria Math"/>
              </w:rPr>
              <m:t>y</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e>
                </m:d>
              </m:e>
              <m:sup>
                <m:r>
                  <w:rPr>
                    <w:rFonts w:ascii="Cambria Math" w:hAnsi="Cambria Math"/>
                  </w:rPr>
                  <m:t>2</m:t>
                </m:r>
              </m:sup>
            </m:sSup>
          </m:num>
          <m:den>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-1</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2</m:t>
                    </m:r>
                  </m:sup>
                </m:sSubSup>
              </m:num>
              <m:den>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-1</m:t>
                </m:r>
              </m:den>
            </m:f>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eastAsiaTheme="minorEastAsia" w:hAnsi="Cambria Math"/>
                            <w:b/>
                            <w:bCs/>
                            <w:i/>
                            <w:color w:val="7030A0"/>
                          </w:rPr>
                        </m:ctrlPr>
                      </m:fPr>
                      <m:num>
                        <m:sSubSup>
                          <m:sSubSupPr>
                            <m:ctrlPr>
                              <w:rPr>
                                <w:rFonts w:ascii="Cambria Math" w:eastAsiaTheme="minorEastAsia" w:hAnsi="Cambria Math"/>
                                <w:b/>
                                <w:bCs/>
                                <w:i/>
                                <w:color w:val="7030A0"/>
                              </w:rPr>
                            </m:ctrlPr>
                          </m:sSubSupPr>
                          <m:e>
                            <m:r>
                              <m:rPr>
                                <m:sty m:val="bi"/>
                              </m:rPr>
                              <w:rPr>
                                <w:rFonts w:ascii="Cambria Math" w:eastAsiaTheme="minorEastAsia" w:hAnsi="Cambria Math"/>
                                <w:color w:val="7030A0"/>
                              </w:rPr>
                              <m:t>S</m:t>
                            </m:r>
                          </m:e>
                          <m:sub>
                            <m:r>
                              <m:rPr>
                                <m:sty m:val="bi"/>
                              </m:rPr>
                              <w:rPr>
                                <w:rFonts w:ascii="Cambria Math" w:eastAsiaTheme="minorEastAsia" w:hAnsi="Cambria Math"/>
                                <w:color w:val="7030A0"/>
                              </w:rPr>
                              <m:t>1</m:t>
                            </m:r>
                          </m:sub>
                          <m:sup>
                            <m:r>
                              <m:rPr>
                                <m:sty m:val="bi"/>
                              </m:rPr>
                              <w:rPr>
                                <w:rFonts w:ascii="Cambria Math" w:eastAsiaTheme="minorEastAsia" w:hAnsi="Cambria Math"/>
                                <w:color w:val="7030A0"/>
                              </w:rPr>
                              <m:t>2</m:t>
                            </m:r>
                          </m:sup>
                        </m:sSubSup>
                      </m:num>
                      <m:den>
                        <m:sSub>
                          <m:sSubPr>
                            <m:ctrlPr>
                              <w:rPr>
                                <w:rFonts w:ascii="Cambria Math" w:eastAsiaTheme="minorEastAsia" w:hAnsi="Cambria Math"/>
                                <w:b/>
                                <w:bCs/>
                                <w:i/>
                                <w:color w:val="7030A0"/>
                              </w:rPr>
                            </m:ctrlPr>
                          </m:sSubPr>
                          <m:e>
                            <m:r>
                              <m:rPr>
                                <m:sty m:val="bi"/>
                              </m:rPr>
                              <w:rPr>
                                <w:rFonts w:ascii="Cambria Math" w:eastAsiaTheme="minorEastAsia" w:hAnsi="Cambria Math"/>
                                <w:color w:val="7030A0"/>
                              </w:rPr>
                              <m:t>n</m:t>
                            </m:r>
                          </m:e>
                          <m:sub>
                            <m:r>
                              <m:rPr>
                                <m:sty m:val="bi"/>
                              </m:rPr>
                              <w:rPr>
                                <w:rFonts w:ascii="Cambria Math" w:eastAsiaTheme="minorEastAsia" w:hAnsi="Cambria Math"/>
                                <w:color w:val="7030A0"/>
                              </w:rPr>
                              <m:t>1</m:t>
                            </m:r>
                          </m:sub>
                        </m:sSub>
                      </m:den>
                    </m:f>
                    <m:r>
                      <w:rPr>
                        <w:rFonts w:ascii="Cambria Math" w:hAnsi="Cambria Math"/>
                      </w:rPr>
                      <m:t>+</m:t>
                    </m:r>
                    <m:f>
                      <m:fPr>
                        <m:ctrlPr>
                          <w:rPr>
                            <w:rFonts w:ascii="Cambria Math" w:eastAsiaTheme="minorEastAsia" w:hAnsi="Cambria Math"/>
                            <w:b/>
                            <w:bCs/>
                            <w:i/>
                            <w:color w:val="7030A0"/>
                          </w:rPr>
                        </m:ctrlPr>
                      </m:fPr>
                      <m:num>
                        <m:sSubSup>
                          <m:sSubSupPr>
                            <m:ctrlPr>
                              <w:rPr>
                                <w:rFonts w:ascii="Cambria Math" w:eastAsiaTheme="minorEastAsia" w:hAnsi="Cambria Math"/>
                                <w:b/>
                                <w:bCs/>
                                <w:i/>
                                <w:color w:val="7030A0"/>
                              </w:rPr>
                            </m:ctrlPr>
                          </m:sSubSupPr>
                          <m:e>
                            <m:r>
                              <m:rPr>
                                <m:sty m:val="bi"/>
                              </m:rPr>
                              <w:rPr>
                                <w:rFonts w:ascii="Cambria Math" w:eastAsiaTheme="minorEastAsia" w:hAnsi="Cambria Math"/>
                                <w:color w:val="7030A0"/>
                              </w:rPr>
                              <m:t>S</m:t>
                            </m:r>
                          </m:e>
                          <m:sub>
                            <m:r>
                              <m:rPr>
                                <m:sty m:val="bi"/>
                              </m:rPr>
                              <w:rPr>
                                <w:rFonts w:ascii="Cambria Math" w:eastAsiaTheme="minorEastAsia" w:hAnsi="Cambria Math"/>
                                <w:color w:val="7030A0"/>
                              </w:rPr>
                              <m:t>2</m:t>
                            </m:r>
                          </m:sub>
                          <m:sup>
                            <m:r>
                              <m:rPr>
                                <m:sty m:val="bi"/>
                              </m:rPr>
                              <w:rPr>
                                <w:rFonts w:ascii="Cambria Math" w:eastAsiaTheme="minorEastAsia" w:hAnsi="Cambria Math"/>
                                <w:color w:val="7030A0"/>
                              </w:rPr>
                              <m:t>2</m:t>
                            </m:r>
                          </m:sup>
                        </m:sSubSup>
                      </m:num>
                      <m:den>
                        <m:sSub>
                          <m:sSubPr>
                            <m:ctrlPr>
                              <w:rPr>
                                <w:rFonts w:ascii="Cambria Math" w:eastAsiaTheme="minorEastAsia" w:hAnsi="Cambria Math"/>
                                <w:b/>
                                <w:bCs/>
                                <w:i/>
                                <w:color w:val="7030A0"/>
                              </w:rPr>
                            </m:ctrlPr>
                          </m:sSubPr>
                          <m:e>
                            <m:r>
                              <m:rPr>
                                <m:sty m:val="bi"/>
                              </m:rPr>
                              <w:rPr>
                                <w:rFonts w:ascii="Cambria Math" w:eastAsiaTheme="minorEastAsia" w:hAnsi="Cambria Math"/>
                                <w:color w:val="7030A0"/>
                              </w:rPr>
                              <m:t>n</m:t>
                            </m:r>
                          </m:e>
                          <m:sub>
                            <m:r>
                              <m:rPr>
                                <m:sty m:val="bi"/>
                              </m:rPr>
                              <w:rPr>
                                <w:rFonts w:ascii="Cambria Math" w:eastAsiaTheme="minorEastAsia" w:hAnsi="Cambria Math"/>
                                <w:color w:val="7030A0"/>
                              </w:rPr>
                              <m:t>2</m:t>
                            </m:r>
                          </m:sub>
                        </m:sSub>
                      </m:den>
                    </m:f>
                  </m:e>
                </m:d>
              </m:e>
              <m:sup>
                <m:r>
                  <w:rPr>
                    <w:rFonts w:ascii="Cambria Math" w:hAnsi="Cambria Math"/>
                  </w:rPr>
                  <m:t>2</m:t>
                </m:r>
              </m:sup>
            </m:sSup>
          </m:num>
          <m:den>
            <m:f>
              <m:fPr>
                <m:ctrlPr>
                  <w:rPr>
                    <w:rFonts w:ascii="Cambria Math" w:hAnsi="Cambria Math"/>
                    <w:i/>
                  </w:rPr>
                </m:ctrlPr>
              </m:fPr>
              <m:num>
                <m:sSup>
                  <m:sSupPr>
                    <m:ctrlPr>
                      <w:rPr>
                        <w:rFonts w:ascii="Cambria Math" w:eastAsiaTheme="minorEastAsia" w:hAnsi="Cambria Math"/>
                        <w:b/>
                        <w:bCs/>
                        <w:i/>
                        <w:color w:val="7030A0"/>
                      </w:rPr>
                    </m:ctrlPr>
                  </m:sSupPr>
                  <m:e>
                    <m:d>
                      <m:dPr>
                        <m:ctrlPr>
                          <w:rPr>
                            <w:rFonts w:ascii="Cambria Math" w:eastAsiaTheme="minorEastAsia" w:hAnsi="Cambria Math"/>
                            <w:b/>
                            <w:bCs/>
                            <w:i/>
                            <w:color w:val="7030A0"/>
                          </w:rPr>
                        </m:ctrlPr>
                      </m:dPr>
                      <m:e>
                        <m:f>
                          <m:fPr>
                            <m:ctrlPr>
                              <w:rPr>
                                <w:rFonts w:ascii="Cambria Math" w:eastAsiaTheme="minorEastAsia" w:hAnsi="Cambria Math"/>
                                <w:b/>
                                <w:bCs/>
                                <w:i/>
                                <w:color w:val="7030A0"/>
                              </w:rPr>
                            </m:ctrlPr>
                          </m:fPr>
                          <m:num>
                            <m:sSubSup>
                              <m:sSubSupPr>
                                <m:ctrlPr>
                                  <w:rPr>
                                    <w:rFonts w:ascii="Cambria Math" w:eastAsiaTheme="minorEastAsia" w:hAnsi="Cambria Math"/>
                                    <w:b/>
                                    <w:bCs/>
                                    <w:i/>
                                    <w:color w:val="7030A0"/>
                                  </w:rPr>
                                </m:ctrlPr>
                              </m:sSubSupPr>
                              <m:e>
                                <m:r>
                                  <m:rPr>
                                    <m:sty m:val="bi"/>
                                  </m:rPr>
                                  <w:rPr>
                                    <w:rFonts w:ascii="Cambria Math" w:eastAsiaTheme="minorEastAsia" w:hAnsi="Cambria Math"/>
                                    <w:color w:val="7030A0"/>
                                  </w:rPr>
                                  <m:t>S</m:t>
                                </m:r>
                              </m:e>
                              <m:sub>
                                <m:r>
                                  <m:rPr>
                                    <m:sty m:val="bi"/>
                                  </m:rPr>
                                  <w:rPr>
                                    <w:rFonts w:ascii="Cambria Math" w:eastAsiaTheme="minorEastAsia" w:hAnsi="Cambria Math"/>
                                    <w:color w:val="7030A0"/>
                                  </w:rPr>
                                  <m:t>1</m:t>
                                </m:r>
                              </m:sub>
                              <m:sup>
                                <m:r>
                                  <m:rPr>
                                    <m:sty m:val="bi"/>
                                  </m:rPr>
                                  <w:rPr>
                                    <w:rFonts w:ascii="Cambria Math" w:eastAsiaTheme="minorEastAsia" w:hAnsi="Cambria Math"/>
                                    <w:color w:val="7030A0"/>
                                  </w:rPr>
                                  <m:t>2</m:t>
                                </m:r>
                              </m:sup>
                            </m:sSubSup>
                          </m:num>
                          <m:den>
                            <m:sSub>
                              <m:sSubPr>
                                <m:ctrlPr>
                                  <w:rPr>
                                    <w:rFonts w:ascii="Cambria Math" w:eastAsiaTheme="minorEastAsia" w:hAnsi="Cambria Math"/>
                                    <w:b/>
                                    <w:bCs/>
                                    <w:i/>
                                    <w:color w:val="7030A0"/>
                                  </w:rPr>
                                </m:ctrlPr>
                              </m:sSubPr>
                              <m:e>
                                <m:r>
                                  <m:rPr>
                                    <m:sty m:val="bi"/>
                                  </m:rPr>
                                  <w:rPr>
                                    <w:rFonts w:ascii="Cambria Math" w:eastAsiaTheme="minorEastAsia" w:hAnsi="Cambria Math"/>
                                    <w:color w:val="7030A0"/>
                                  </w:rPr>
                                  <m:t>n</m:t>
                                </m:r>
                              </m:e>
                              <m:sub>
                                <m:r>
                                  <m:rPr>
                                    <m:sty m:val="bi"/>
                                  </m:rPr>
                                  <w:rPr>
                                    <w:rFonts w:ascii="Cambria Math" w:eastAsiaTheme="minorEastAsia" w:hAnsi="Cambria Math"/>
                                    <w:color w:val="7030A0"/>
                                  </w:rPr>
                                  <m:t>1</m:t>
                                </m:r>
                              </m:sub>
                            </m:sSub>
                          </m:den>
                        </m:f>
                      </m:e>
                    </m:d>
                  </m:e>
                  <m:sup>
                    <m:r>
                      <m:rPr>
                        <m:sty m:val="bi"/>
                      </m:rPr>
                      <w:rPr>
                        <w:rFonts w:ascii="Cambria Math" w:eastAsiaTheme="minorEastAsia" w:hAnsi="Cambria Math"/>
                        <w:color w:val="7030A0"/>
                      </w:rPr>
                      <m:t>2</m:t>
                    </m:r>
                  </m:sup>
                </m:sSup>
              </m:num>
              <m:den>
                <m:sSub>
                  <m:sSubPr>
                    <m:ctrlPr>
                      <w:rPr>
                        <w:rFonts w:ascii="Cambria Math" w:hAnsi="Cambria Math"/>
                        <w:b/>
                        <w:bCs/>
                        <w:i/>
                        <w:color w:val="ED7D31" w:themeColor="accent2"/>
                      </w:rPr>
                    </m:ctrlPr>
                  </m:sSubPr>
                  <m:e>
                    <m:r>
                      <m:rPr>
                        <m:sty m:val="bi"/>
                      </m:rPr>
                      <w:rPr>
                        <w:rFonts w:ascii="Cambria Math" w:hAnsi="Cambria Math"/>
                        <w:color w:val="ED7D31" w:themeColor="accent2"/>
                      </w:rPr>
                      <m:t>n</m:t>
                    </m:r>
                  </m:e>
                  <m:sub>
                    <m:r>
                      <m:rPr>
                        <m:sty m:val="bi"/>
                      </m:rPr>
                      <w:rPr>
                        <w:rFonts w:ascii="Cambria Math" w:hAnsi="Cambria Math"/>
                        <w:color w:val="ED7D31" w:themeColor="accent2"/>
                      </w:rPr>
                      <m:t>1</m:t>
                    </m:r>
                  </m:sub>
                </m:sSub>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eastAsiaTheme="minorEastAsia" w:hAnsi="Cambria Math"/>
                        <w:b/>
                        <w:bCs/>
                        <w:i/>
                        <w:color w:val="7030A0"/>
                      </w:rPr>
                    </m:ctrlPr>
                  </m:sSupPr>
                  <m:e>
                    <m:d>
                      <m:dPr>
                        <m:ctrlPr>
                          <w:rPr>
                            <w:rFonts w:ascii="Cambria Math" w:eastAsiaTheme="minorEastAsia" w:hAnsi="Cambria Math"/>
                            <w:b/>
                            <w:bCs/>
                            <w:i/>
                            <w:color w:val="7030A0"/>
                          </w:rPr>
                        </m:ctrlPr>
                      </m:dPr>
                      <m:e>
                        <m:f>
                          <m:fPr>
                            <m:ctrlPr>
                              <w:rPr>
                                <w:rFonts w:ascii="Cambria Math" w:eastAsiaTheme="minorEastAsia" w:hAnsi="Cambria Math"/>
                                <w:b/>
                                <w:bCs/>
                                <w:i/>
                                <w:color w:val="7030A0"/>
                              </w:rPr>
                            </m:ctrlPr>
                          </m:fPr>
                          <m:num>
                            <m:sSubSup>
                              <m:sSubSupPr>
                                <m:ctrlPr>
                                  <w:rPr>
                                    <w:rFonts w:ascii="Cambria Math" w:eastAsiaTheme="minorEastAsia" w:hAnsi="Cambria Math"/>
                                    <w:b/>
                                    <w:bCs/>
                                    <w:i/>
                                    <w:color w:val="7030A0"/>
                                  </w:rPr>
                                </m:ctrlPr>
                              </m:sSubSupPr>
                              <m:e>
                                <m:r>
                                  <m:rPr>
                                    <m:sty m:val="bi"/>
                                  </m:rPr>
                                  <w:rPr>
                                    <w:rFonts w:ascii="Cambria Math" w:eastAsiaTheme="minorEastAsia" w:hAnsi="Cambria Math"/>
                                    <w:color w:val="7030A0"/>
                                  </w:rPr>
                                  <m:t>S</m:t>
                                </m:r>
                              </m:e>
                              <m:sub>
                                <m:r>
                                  <m:rPr>
                                    <m:sty m:val="bi"/>
                                  </m:rPr>
                                  <w:rPr>
                                    <w:rFonts w:ascii="Cambria Math" w:eastAsiaTheme="minorEastAsia" w:hAnsi="Cambria Math"/>
                                    <w:color w:val="7030A0"/>
                                  </w:rPr>
                                  <m:t>2</m:t>
                                </m:r>
                              </m:sub>
                              <m:sup>
                                <m:r>
                                  <m:rPr>
                                    <m:sty m:val="bi"/>
                                  </m:rPr>
                                  <w:rPr>
                                    <w:rFonts w:ascii="Cambria Math" w:eastAsiaTheme="minorEastAsia" w:hAnsi="Cambria Math"/>
                                    <w:color w:val="7030A0"/>
                                  </w:rPr>
                                  <m:t>2</m:t>
                                </m:r>
                              </m:sup>
                            </m:sSubSup>
                          </m:num>
                          <m:den>
                            <m:sSub>
                              <m:sSubPr>
                                <m:ctrlPr>
                                  <w:rPr>
                                    <w:rFonts w:ascii="Cambria Math" w:eastAsiaTheme="minorEastAsia" w:hAnsi="Cambria Math"/>
                                    <w:b/>
                                    <w:bCs/>
                                    <w:i/>
                                    <w:color w:val="7030A0"/>
                                  </w:rPr>
                                </m:ctrlPr>
                              </m:sSubPr>
                              <m:e>
                                <m:r>
                                  <m:rPr>
                                    <m:sty m:val="bi"/>
                                  </m:rPr>
                                  <w:rPr>
                                    <w:rFonts w:ascii="Cambria Math" w:eastAsiaTheme="minorEastAsia" w:hAnsi="Cambria Math"/>
                                    <w:color w:val="7030A0"/>
                                  </w:rPr>
                                  <m:t>n</m:t>
                                </m:r>
                              </m:e>
                              <m:sub>
                                <m:r>
                                  <m:rPr>
                                    <m:sty m:val="bi"/>
                                  </m:rPr>
                                  <w:rPr>
                                    <w:rFonts w:ascii="Cambria Math" w:eastAsiaTheme="minorEastAsia" w:hAnsi="Cambria Math"/>
                                    <w:color w:val="7030A0"/>
                                  </w:rPr>
                                  <m:t>2</m:t>
                                </m:r>
                              </m:sub>
                            </m:sSub>
                          </m:den>
                        </m:f>
                      </m:e>
                    </m:d>
                  </m:e>
                  <m:sup>
                    <m:r>
                      <m:rPr>
                        <m:sty m:val="bi"/>
                      </m:rPr>
                      <w:rPr>
                        <w:rFonts w:ascii="Cambria Math" w:eastAsiaTheme="minorEastAsia" w:hAnsi="Cambria Math"/>
                        <w:color w:val="7030A0"/>
                      </w:rPr>
                      <m:t>2</m:t>
                    </m:r>
                  </m:sup>
                </m:sSup>
              </m:num>
              <m:den>
                <m:sSub>
                  <m:sSubPr>
                    <m:ctrlPr>
                      <w:rPr>
                        <w:rFonts w:ascii="Cambria Math" w:hAnsi="Cambria Math"/>
                        <w:b/>
                        <w:bCs/>
                        <w:i/>
                        <w:color w:val="ED7D31" w:themeColor="accent2"/>
                      </w:rPr>
                    </m:ctrlPr>
                  </m:sSubPr>
                  <m:e>
                    <m:r>
                      <m:rPr>
                        <m:sty m:val="bi"/>
                      </m:rPr>
                      <w:rPr>
                        <w:rFonts w:ascii="Cambria Math" w:hAnsi="Cambria Math"/>
                        <w:color w:val="ED7D31" w:themeColor="accent2"/>
                      </w:rPr>
                      <m:t>n</m:t>
                    </m:r>
                  </m:e>
                  <m:sub>
                    <m:r>
                      <m:rPr>
                        <m:sty m:val="bi"/>
                      </m:rPr>
                      <w:rPr>
                        <w:rFonts w:ascii="Cambria Math" w:hAnsi="Cambria Math"/>
                        <w:color w:val="ED7D31" w:themeColor="accent2"/>
                      </w:rPr>
                      <m:t>2</m:t>
                    </m:r>
                  </m:sub>
                </m:sSub>
                <m:r>
                  <w:rPr>
                    <w:rFonts w:ascii="Cambria Math" w:hAnsi="Cambria Math"/>
                  </w:rPr>
                  <m:t>-1</m:t>
                </m:r>
              </m:den>
            </m:f>
          </m:den>
        </m:f>
      </m:oMath>
      <w:r>
        <w:rPr>
          <w:rFonts w:eastAsiaTheme="minorEastAsia"/>
        </w:rPr>
        <w:t xml:space="preserve"> , ce qui est bien le </w:t>
      </w:r>
      <w:proofErr w:type="spellStart"/>
      <w:r w:rsidRPr="002F75E6">
        <w:rPr>
          <w:rFonts w:eastAsiaTheme="minorEastAsia"/>
          <w:i/>
          <w:iCs/>
        </w:rPr>
        <w:t>df</w:t>
      </w:r>
      <w:proofErr w:type="spellEnd"/>
      <w:r>
        <w:rPr>
          <w:rFonts w:eastAsiaTheme="minorEastAsia"/>
          <w:i/>
          <w:iCs/>
        </w:rPr>
        <w:t xml:space="preserve"> </w:t>
      </w:r>
      <w:r w:rsidRPr="002F75E6">
        <w:rPr>
          <w:rFonts w:eastAsiaTheme="minorEastAsia"/>
        </w:rPr>
        <w:t>associé</w:t>
      </w:r>
      <w:r>
        <w:rPr>
          <w:rFonts w:eastAsiaTheme="minorEastAsia"/>
        </w:rPr>
        <w:t xml:space="preserve"> à la statistique </w:t>
      </w:r>
      <w:r w:rsidRPr="002F75E6">
        <w:rPr>
          <w:rFonts w:eastAsiaTheme="minorEastAsia"/>
          <w:i/>
          <w:iCs/>
        </w:rPr>
        <w:t>t</w:t>
      </w:r>
      <w:r>
        <w:rPr>
          <w:rFonts w:eastAsiaTheme="minorEastAsia"/>
        </w:rPr>
        <w:t xml:space="preserve"> de Welch. </w:t>
      </w:r>
    </w:p>
    <w:p w14:paraId="1DBF9C00" w14:textId="77777777" w:rsidR="00CA764F" w:rsidRPr="00235230" w:rsidRDefault="00CA764F" w:rsidP="00CA764F">
      <w:pPr>
        <w:pStyle w:val="Paragraphedeliste"/>
      </w:pPr>
    </w:p>
    <w:p w14:paraId="5AD06BB0" w14:textId="77777777" w:rsidR="00CA764F" w:rsidRPr="006F4714" w:rsidRDefault="00CA764F" w:rsidP="00CA764F">
      <w:pPr>
        <w:pStyle w:val="Paragraphedeliste"/>
        <w:numPr>
          <w:ilvl w:val="0"/>
          <w:numId w:val="18"/>
        </w:numPr>
        <w:rPr>
          <w:b/>
          <w:bCs/>
        </w:rPr>
      </w:pPr>
      <w:r w:rsidRPr="006F4714">
        <w:rPr>
          <w:b/>
          <w:bCs/>
        </w:rPr>
        <w:t xml:space="preserve">Quelques remarques/critiques des propos de Wilcox sur le test de </w:t>
      </w:r>
      <w:proofErr w:type="spellStart"/>
      <w:r w:rsidRPr="006F4714">
        <w:rPr>
          <w:b/>
          <w:bCs/>
        </w:rPr>
        <w:t>Yuen</w:t>
      </w:r>
      <w:proofErr w:type="spellEnd"/>
    </w:p>
    <w:p w14:paraId="08C027EA" w14:textId="77777777" w:rsidR="00CA764F" w:rsidRDefault="00CA764F" w:rsidP="00CA764F">
      <w:pPr>
        <w:pStyle w:val="Paragraphedeliste"/>
      </w:pPr>
    </w:p>
    <w:p w14:paraId="4EC801D7" w14:textId="77777777" w:rsidR="00CA764F" w:rsidRPr="00503C1E" w:rsidRDefault="00CA764F" w:rsidP="00CA764F">
      <w:pPr>
        <w:pStyle w:val="Paragraphedeliste"/>
        <w:numPr>
          <w:ilvl w:val="0"/>
          <w:numId w:val="7"/>
        </w:numPr>
        <w:rPr>
          <w:lang w:val="en-US"/>
        </w:rPr>
      </w:pPr>
      <w:r w:rsidRPr="007605C9">
        <w:t xml:space="preserve">Wilcox (2010) dit ceci (cf. « Modern </w:t>
      </w:r>
      <w:proofErr w:type="spellStart"/>
      <w:r w:rsidRPr="007605C9">
        <w:t>Robust</w:t>
      </w:r>
      <w:proofErr w:type="spellEnd"/>
      <w:r w:rsidRPr="007605C9">
        <w:t xml:space="preserve"> data </w:t>
      </w:r>
      <w:proofErr w:type="spellStart"/>
      <w:r w:rsidRPr="007605C9">
        <w:t>analysis</w:t>
      </w:r>
      <w:proofErr w:type="spellEnd"/>
      <w:r w:rsidRPr="007605C9">
        <w:t xml:space="preserve"> </w:t>
      </w:r>
      <w:proofErr w:type="spellStart"/>
      <w:r w:rsidRPr="007605C9">
        <w:t>methods</w:t>
      </w:r>
      <w:proofErr w:type="spellEnd"/>
      <w:r w:rsidRPr="007605C9">
        <w:t xml:space="preserve"> : </w:t>
      </w:r>
      <w:proofErr w:type="spellStart"/>
      <w:r w:rsidRPr="007605C9">
        <w:t>measures</w:t>
      </w:r>
      <w:proofErr w:type="spellEnd"/>
      <w:r w:rsidRPr="007605C9">
        <w:t xml:space="preserve"> of central </w:t>
      </w:r>
      <w:proofErr w:type="spellStart"/>
      <w:r w:rsidRPr="007605C9">
        <w:t>tendency</w:t>
      </w:r>
      <w:proofErr w:type="spellEnd"/>
      <w:r w:rsidRPr="007605C9">
        <w:t xml:space="preserve">) : “… </w:t>
      </w:r>
      <w:proofErr w:type="spellStart"/>
      <w:r w:rsidRPr="007605C9">
        <w:t>when</w:t>
      </w:r>
      <w:proofErr w:type="spellEnd"/>
      <w:r w:rsidRPr="007605C9">
        <w:t xml:space="preserve"> distributions </w:t>
      </w:r>
      <w:proofErr w:type="spellStart"/>
      <w:r w:rsidRPr="007605C9">
        <w:t>differ</w:t>
      </w:r>
      <w:proofErr w:type="spellEnd"/>
      <w:r w:rsidRPr="007605C9">
        <w:t xml:space="preserve"> in </w:t>
      </w:r>
      <w:proofErr w:type="spellStart"/>
      <w:r w:rsidRPr="007605C9">
        <w:t>skewness</w:t>
      </w:r>
      <w:proofErr w:type="spellEnd"/>
      <w:r w:rsidRPr="007605C9">
        <w:t xml:space="preserve"> or have </w:t>
      </w:r>
      <w:proofErr w:type="spellStart"/>
      <w:r w:rsidRPr="007605C9">
        <w:t>unequal</w:t>
      </w:r>
      <w:proofErr w:type="spellEnd"/>
      <w:r w:rsidRPr="007605C9">
        <w:t xml:space="preserve"> variances, modern </w:t>
      </w:r>
      <w:proofErr w:type="spellStart"/>
      <w:r w:rsidRPr="007605C9">
        <w:t>methods</w:t>
      </w:r>
      <w:proofErr w:type="spellEnd"/>
      <w:r w:rsidRPr="007605C9">
        <w:t xml:space="preserve"> […] </w:t>
      </w:r>
      <w:r w:rsidRPr="007605C9">
        <w:rPr>
          <w:b/>
          <w:bCs/>
        </w:rPr>
        <w:t xml:space="preserve">have </w:t>
      </w:r>
      <w:proofErr w:type="spellStart"/>
      <w:r w:rsidRPr="007605C9">
        <w:rPr>
          <w:b/>
          <w:bCs/>
        </w:rPr>
        <w:t>substantially</w:t>
      </w:r>
      <w:proofErr w:type="spellEnd"/>
      <w:r w:rsidRPr="007605C9">
        <w:rPr>
          <w:b/>
          <w:bCs/>
        </w:rPr>
        <w:t xml:space="preserve"> more power</w:t>
      </w:r>
      <w:r w:rsidRPr="007605C9">
        <w:t xml:space="preserve"> […]</w:t>
      </w:r>
      <w:proofErr w:type="spellStart"/>
      <w:r w:rsidRPr="007605C9">
        <w:t>provide</w:t>
      </w:r>
      <w:proofErr w:type="spellEnd"/>
      <w:r w:rsidRPr="007605C9">
        <w:t xml:space="preserve"> </w:t>
      </w:r>
      <w:proofErr w:type="spellStart"/>
      <w:r w:rsidRPr="007605C9">
        <w:t>better</w:t>
      </w:r>
      <w:proofErr w:type="spellEnd"/>
      <w:r w:rsidRPr="007605C9">
        <w:t xml:space="preserve"> control over the </w:t>
      </w:r>
      <w:proofErr w:type="spellStart"/>
      <w:r w:rsidRPr="007605C9">
        <w:t>probability</w:t>
      </w:r>
      <w:proofErr w:type="spellEnd"/>
      <w:r w:rsidRPr="007605C9">
        <w:t xml:space="preserve"> of a Type I </w:t>
      </w:r>
      <w:proofErr w:type="spellStart"/>
      <w:r w:rsidRPr="007605C9">
        <w:t>error</w:t>
      </w:r>
      <w:proofErr w:type="spellEnd"/>
      <w:r w:rsidRPr="007605C9">
        <w:t xml:space="preserve">”) </w:t>
      </w:r>
      <w:r w:rsidRPr="00B67E1F">
        <w:rPr>
          <w:lang w:val="en-US"/>
        </w:rPr>
        <w:sym w:font="Wingdings" w:char="F0E0"/>
      </w:r>
      <w:r w:rsidRPr="007605C9">
        <w:t xml:space="preserve"> Question: comment fait-il pour comparer la robustesse (puissance et taux d’erreur de type I ) du test de Welch et du test de </w:t>
      </w:r>
      <w:proofErr w:type="spellStart"/>
      <w:r w:rsidRPr="007605C9">
        <w:t>Yuen</w:t>
      </w:r>
      <w:proofErr w:type="spellEnd"/>
      <w:r w:rsidRPr="007605C9">
        <w:t xml:space="preserve">? </w:t>
      </w:r>
      <w:r w:rsidRPr="00503C1E">
        <w:rPr>
          <w:lang w:val="en-US"/>
        </w:rPr>
        <w:t xml:space="preserve">Je ne </w:t>
      </w:r>
      <w:proofErr w:type="spellStart"/>
      <w:r w:rsidRPr="00503C1E">
        <w:rPr>
          <w:lang w:val="en-US"/>
        </w:rPr>
        <w:t>vois</w:t>
      </w:r>
      <w:proofErr w:type="spellEnd"/>
      <w:r w:rsidRPr="00503C1E">
        <w:rPr>
          <w:lang w:val="en-US"/>
        </w:rPr>
        <w:t xml:space="preserve"> que </w:t>
      </w:r>
      <w:proofErr w:type="spellStart"/>
      <w:r w:rsidRPr="00503C1E">
        <w:rPr>
          <w:lang w:val="en-US"/>
        </w:rPr>
        <w:t>cette</w:t>
      </w:r>
      <w:proofErr w:type="spellEnd"/>
      <w:r w:rsidRPr="00503C1E">
        <w:rPr>
          <w:lang w:val="en-US"/>
        </w:rPr>
        <w:t xml:space="preserve"> solution :</w:t>
      </w:r>
    </w:p>
    <w:p w14:paraId="69FB7A08" w14:textId="77777777" w:rsidR="00CA764F" w:rsidRDefault="00CA764F" w:rsidP="00CA764F">
      <w:pPr>
        <w:pStyle w:val="Paragraphedeliste"/>
        <w:numPr>
          <w:ilvl w:val="1"/>
          <w:numId w:val="7"/>
        </w:numPr>
      </w:pPr>
      <w:r>
        <w:t>Set 1 de simulations : faire des simulations  en spécifiant que les moyennes de population sont égales à 0 dans chaque groupe ;</w:t>
      </w:r>
    </w:p>
    <w:p w14:paraId="6F857871" w14:textId="77777777" w:rsidR="00CA764F" w:rsidRDefault="00CA764F" w:rsidP="00CA764F">
      <w:pPr>
        <w:pStyle w:val="Paragraphedeliste"/>
        <w:numPr>
          <w:ilvl w:val="1"/>
          <w:numId w:val="7"/>
        </w:numPr>
      </w:pPr>
      <w:r>
        <w:t xml:space="preserve">Set 2 de simulations : faire des simulations où tous les paramètres de population sont identiques à ceux du set 1, EXCEPTE pour la tendance centrale = faire translater sur l’axe des X les distributions du set 1 pour que dans chaque groupe, la moyenne </w:t>
      </w:r>
      <w:proofErr w:type="spellStart"/>
      <w:r>
        <w:t>trimmée</w:t>
      </w:r>
      <w:proofErr w:type="spellEnd"/>
      <w:r>
        <w:t xml:space="preserve"> de population = la moyenne de population du premier set de simulations.</w:t>
      </w:r>
    </w:p>
    <w:p w14:paraId="6E6A8AB3" w14:textId="77777777" w:rsidR="00CA764F" w:rsidRDefault="00CA764F" w:rsidP="00CA764F">
      <w:pPr>
        <w:pStyle w:val="Paragraphedeliste"/>
        <w:numPr>
          <w:ilvl w:val="1"/>
          <w:numId w:val="7"/>
        </w:numPr>
      </w:pPr>
      <w:r>
        <w:t xml:space="preserve">Ce faisant, on s’assure que le numérateur du test de </w:t>
      </w:r>
      <w:proofErr w:type="spellStart"/>
      <w:r>
        <w:t>Yuen</w:t>
      </w:r>
      <w:proofErr w:type="spellEnd"/>
      <w:r>
        <w:t xml:space="preserve"> = le numérateur du test de Welch.  C’est donc le dénominateur qui déterminera la puissance.  </w:t>
      </w:r>
    </w:p>
    <w:p w14:paraId="0857D46A" w14:textId="77777777" w:rsidR="00CA764F" w:rsidRDefault="00CA764F" w:rsidP="00CA764F">
      <w:pPr>
        <w:pStyle w:val="Paragraphedeliste"/>
        <w:ind w:left="1440"/>
      </w:pPr>
    </w:p>
    <w:p w14:paraId="2C7CA2D4" w14:textId="77777777" w:rsidR="00CA764F" w:rsidRPr="000C49D7" w:rsidRDefault="00CA764F" w:rsidP="00CA764F">
      <w:pPr>
        <w:pStyle w:val="Paragraphedeliste"/>
        <w:numPr>
          <w:ilvl w:val="0"/>
          <w:numId w:val="7"/>
        </w:numPr>
      </w:pPr>
      <w:r w:rsidRPr="00006A17">
        <w:rPr>
          <w:lang w:val="en-US"/>
        </w:rPr>
        <w:t xml:space="preserve">Wilcox </w:t>
      </w:r>
      <w:r>
        <w:rPr>
          <w:lang w:val="en-US"/>
        </w:rPr>
        <w:t xml:space="preserve">(2010) </w:t>
      </w:r>
      <w:proofErr w:type="spellStart"/>
      <w:r w:rsidRPr="00006A17">
        <w:rPr>
          <w:lang w:val="en-US"/>
        </w:rPr>
        <w:t>dit</w:t>
      </w:r>
      <w:proofErr w:type="spellEnd"/>
      <w:r w:rsidRPr="00006A17">
        <w:rPr>
          <w:lang w:val="en-US"/>
        </w:rPr>
        <w:t xml:space="preserve"> </w:t>
      </w:r>
      <w:proofErr w:type="spellStart"/>
      <w:r>
        <w:rPr>
          <w:lang w:val="en-US"/>
        </w:rPr>
        <w:t>c</w:t>
      </w:r>
      <w:r w:rsidRPr="00006A17">
        <w:rPr>
          <w:lang w:val="en-US"/>
        </w:rPr>
        <w:t>eci</w:t>
      </w:r>
      <w:proofErr w:type="spellEnd"/>
      <w:r w:rsidRPr="00006A17">
        <w:rPr>
          <w:lang w:val="en-US"/>
        </w:rPr>
        <w:t> : « Modern methods are</w:t>
      </w:r>
      <w:r>
        <w:rPr>
          <w:lang w:val="en-US"/>
        </w:rPr>
        <w:t xml:space="preserve"> specifically designed to avoid potential power problems associated with methods based on means due to sampling from heavy-tailed distributions”. </w:t>
      </w:r>
      <w:r w:rsidRPr="000C49D7">
        <w:rPr>
          <w:lang w:val="en-US"/>
        </w:rPr>
        <w:sym w:font="Wingdings" w:char="F0E0"/>
      </w:r>
      <w:r>
        <w:rPr>
          <w:lang w:val="en-US"/>
        </w:rPr>
        <w:t xml:space="preserve"> </w:t>
      </w:r>
      <w:r>
        <w:t xml:space="preserve">Dû à la confusion classique entre kurtosis et SD. Et quand je vois mes simulations du Supp Mat de mon premier article sur le test t (cf. table A3.2),  je n’ai pas l’impression que le test de </w:t>
      </w:r>
      <w:proofErr w:type="spellStart"/>
      <w:r>
        <w:t>Yuen</w:t>
      </w:r>
      <w:proofErr w:type="spellEnd"/>
      <w:r>
        <w:t xml:space="preserve"> soit moins conservateur que le test de Welch avec des distributions </w:t>
      </w:r>
      <w:proofErr w:type="spellStart"/>
      <w:r>
        <w:t>heavy-tailed</w:t>
      </w:r>
      <w:proofErr w:type="spellEnd"/>
      <w:r>
        <w:t xml:space="preserve">. </w:t>
      </w:r>
    </w:p>
    <w:p w14:paraId="447F5AF5" w14:textId="77777777" w:rsidR="00CA764F" w:rsidRDefault="00CA764F" w:rsidP="00CA764F">
      <w:pPr>
        <w:pStyle w:val="Paragraphedeliste"/>
        <w:rPr>
          <w:b/>
          <w:bCs/>
        </w:rPr>
      </w:pPr>
    </w:p>
    <w:p w14:paraId="64D14ED4" w14:textId="77777777" w:rsidR="00CA764F" w:rsidRDefault="00CA764F" w:rsidP="00CA764F">
      <w:pPr>
        <w:pStyle w:val="Paragraphedeliste"/>
        <w:numPr>
          <w:ilvl w:val="0"/>
          <w:numId w:val="18"/>
        </w:numPr>
        <w:rPr>
          <w:b/>
          <w:bCs/>
        </w:rPr>
      </w:pPr>
      <w:r w:rsidRPr="006F4714">
        <w:rPr>
          <w:b/>
          <w:bCs/>
        </w:rPr>
        <w:t xml:space="preserve">Pourquoi le test de </w:t>
      </w:r>
      <w:proofErr w:type="spellStart"/>
      <w:r w:rsidRPr="006F4714">
        <w:rPr>
          <w:b/>
          <w:bCs/>
        </w:rPr>
        <w:t>Yuen</w:t>
      </w:r>
      <w:proofErr w:type="spellEnd"/>
      <w:r w:rsidRPr="006F4714">
        <w:rPr>
          <w:b/>
          <w:bCs/>
        </w:rPr>
        <w:t xml:space="preserve"> serait mieux que supprimer les </w:t>
      </w:r>
      <w:proofErr w:type="spellStart"/>
      <w:r w:rsidRPr="006F4714">
        <w:rPr>
          <w:b/>
          <w:bCs/>
        </w:rPr>
        <w:t>outliers</w:t>
      </w:r>
      <w:proofErr w:type="spellEnd"/>
      <w:r w:rsidRPr="006F4714">
        <w:rPr>
          <w:b/>
          <w:bCs/>
        </w:rPr>
        <w:t xml:space="preserve"> après les avoir détectés ?</w:t>
      </w:r>
    </w:p>
    <w:p w14:paraId="4CCA1573" w14:textId="77777777" w:rsidR="00CA764F" w:rsidRDefault="00CA764F" w:rsidP="00CA764F">
      <w:r>
        <w:t xml:space="preserve">Parce qu’en supprimant les </w:t>
      </w:r>
      <w:proofErr w:type="spellStart"/>
      <w:r>
        <w:t>outliers</w:t>
      </w:r>
      <w:proofErr w:type="spellEnd"/>
      <w:r>
        <w:t xml:space="preserve">, on n’utilise plus la bonne erreur standard (parce que les observations ne sont plus indépendantes), d’après Wilcox. </w:t>
      </w:r>
    </w:p>
    <w:p w14:paraId="7FA5AEF8" w14:textId="77777777" w:rsidR="00CA764F" w:rsidRDefault="00CA764F" w:rsidP="00CA764F">
      <w:r>
        <w:t>Normalement, l’erreur standard de la moyenne = S/</w:t>
      </w:r>
      <w:proofErr w:type="spellStart"/>
      <w:r>
        <w:t>sqrt</w:t>
      </w:r>
      <w:proofErr w:type="spellEnd"/>
      <w:r>
        <w:t xml:space="preserve">(n). mais quand les observations sont corrélées, cette expression ne tient plus.   </w:t>
      </w:r>
    </w:p>
    <w:p w14:paraId="12366A44" w14:textId="77777777" w:rsidR="00CA764F" w:rsidRPr="00EA4FB3" w:rsidRDefault="00CA764F" w:rsidP="00CA764F">
      <w:pPr>
        <w:pStyle w:val="Paragraphedeliste"/>
        <w:numPr>
          <w:ilvl w:val="0"/>
          <w:numId w:val="18"/>
        </w:numPr>
        <w:rPr>
          <w:b/>
          <w:bCs/>
        </w:rPr>
      </w:pPr>
      <w:r w:rsidRPr="00EA4FB3">
        <w:rPr>
          <w:b/>
          <w:bCs/>
        </w:rPr>
        <w:t xml:space="preserve">Pourquoi ne pas opter pour des transformations plutôt que des tests robustes comme le test de </w:t>
      </w:r>
      <w:proofErr w:type="spellStart"/>
      <w:r w:rsidRPr="00EA4FB3">
        <w:rPr>
          <w:b/>
          <w:bCs/>
        </w:rPr>
        <w:t>Yuen</w:t>
      </w:r>
      <w:proofErr w:type="spellEnd"/>
      <w:r w:rsidRPr="00EA4FB3">
        <w:rPr>
          <w:b/>
          <w:bCs/>
        </w:rPr>
        <w:t> ?</w:t>
      </w:r>
    </w:p>
    <w:p w14:paraId="4C976415" w14:textId="77777777" w:rsidR="00CA764F" w:rsidRDefault="00CA764F" w:rsidP="00CA764F">
      <w:pPr>
        <w:jc w:val="both"/>
      </w:pPr>
      <w:r>
        <w:t xml:space="preserve">D’après </w:t>
      </w:r>
      <w:proofErr w:type="spellStart"/>
      <w:r>
        <w:t>Erceg-Hurn</w:t>
      </w:r>
      <w:proofErr w:type="spellEnd"/>
      <w:r>
        <w:t xml:space="preserve"> et </w:t>
      </w:r>
      <w:proofErr w:type="spellStart"/>
      <w:r>
        <w:t>Mirosevich</w:t>
      </w:r>
      <w:proofErr w:type="spellEnd"/>
      <w:r>
        <w:t xml:space="preserve"> (2012), elles sont problématiques pour plusieurs raisons : </w:t>
      </w:r>
    </w:p>
    <w:p w14:paraId="66E74800" w14:textId="77777777" w:rsidR="00CA764F" w:rsidRDefault="00CA764F" w:rsidP="00CA764F">
      <w:pPr>
        <w:pStyle w:val="Paragraphedeliste"/>
        <w:numPr>
          <w:ilvl w:val="0"/>
          <w:numId w:val="16"/>
        </w:numPr>
        <w:jc w:val="both"/>
      </w:pPr>
      <w:r>
        <w:t xml:space="preserve">Les transformations échouent souvent à restaurer les conditions (on parle souvent de la transformation </w:t>
      </w:r>
      <w:commentRangeStart w:id="3"/>
      <w:r>
        <w:t>« log »</w:t>
      </w:r>
      <w:commentRangeEnd w:id="3"/>
      <w:r>
        <w:rPr>
          <w:rStyle w:val="Marquedecommentaire"/>
        </w:rPr>
        <w:commentReference w:id="3"/>
      </w:r>
      <w:r>
        <w:t xml:space="preserve"> pour restaurer la normale, mais ça ne marche pas toujours). </w:t>
      </w:r>
    </w:p>
    <w:p w14:paraId="51C2280D" w14:textId="77777777" w:rsidR="00CA764F" w:rsidRDefault="00CA764F" w:rsidP="00CA764F">
      <w:pPr>
        <w:pStyle w:val="Paragraphedeliste"/>
        <w:numPr>
          <w:ilvl w:val="0"/>
          <w:numId w:val="16"/>
        </w:numPr>
        <w:jc w:val="both"/>
      </w:pPr>
      <w:r>
        <w:t xml:space="preserve">Elles ne permettent pas de traiter le problème des </w:t>
      </w:r>
      <w:proofErr w:type="spellStart"/>
      <w:r>
        <w:t>outliers</w:t>
      </w:r>
      <w:proofErr w:type="spellEnd"/>
    </w:p>
    <w:p w14:paraId="208764D3" w14:textId="77777777" w:rsidR="00CA764F" w:rsidRDefault="00CA764F" w:rsidP="00CA764F">
      <w:pPr>
        <w:pStyle w:val="Paragraphedeliste"/>
        <w:numPr>
          <w:ilvl w:val="0"/>
          <w:numId w:val="16"/>
        </w:numPr>
        <w:jc w:val="both"/>
      </w:pPr>
      <w:r>
        <w:t>Elles peuvent faire perdre en puissance</w:t>
      </w:r>
    </w:p>
    <w:p w14:paraId="0533ADED" w14:textId="77777777" w:rsidR="00CA764F" w:rsidRDefault="00CA764F" w:rsidP="00CA764F">
      <w:pPr>
        <w:pStyle w:val="Paragraphedeliste"/>
        <w:numPr>
          <w:ilvl w:val="0"/>
          <w:numId w:val="16"/>
        </w:numPr>
        <w:jc w:val="both"/>
      </w:pPr>
      <w:r>
        <w:t>Parfois, ça va modifier l’ordre des moyennes</w:t>
      </w:r>
    </w:p>
    <w:p w14:paraId="2AA40436" w14:textId="77777777" w:rsidR="00CA764F" w:rsidRDefault="00CA764F" w:rsidP="00CA764F">
      <w:pPr>
        <w:pStyle w:val="Paragraphedeliste"/>
        <w:numPr>
          <w:ilvl w:val="0"/>
          <w:numId w:val="16"/>
        </w:numPr>
        <w:jc w:val="both"/>
      </w:pPr>
      <w:r>
        <w:t xml:space="preserve">Complique l’interprétation des résultats (on interprète des mesures transformées, plus les mesures d’ origine).  </w:t>
      </w:r>
    </w:p>
    <w:p w14:paraId="71425E69" w14:textId="77777777" w:rsidR="00CA764F" w:rsidRDefault="00CA764F" w:rsidP="00CA764F">
      <w:pPr>
        <w:jc w:val="both"/>
      </w:pPr>
      <w:r>
        <w:lastRenderedPageBreak/>
        <w:t>D’après Wilcox (2010) : si la distribution est asymétrique au départ, on peut la rendre plus symétrique, mais on ne réduit pas forcément le nombre d’</w:t>
      </w:r>
      <w:proofErr w:type="spellStart"/>
      <w:r>
        <w:t>outliers</w:t>
      </w:r>
      <w:proofErr w:type="spellEnd"/>
      <w:r>
        <w:t xml:space="preserve"> pour autant (parfois, même, ce nombre augmente après transformation). </w:t>
      </w:r>
    </w:p>
    <w:p w14:paraId="1A2CD756" w14:textId="77777777" w:rsidR="00CA764F" w:rsidRPr="00EA4FB3" w:rsidRDefault="00CA764F" w:rsidP="00CA764F">
      <w:pPr>
        <w:pStyle w:val="Paragraphedeliste"/>
        <w:numPr>
          <w:ilvl w:val="0"/>
          <w:numId w:val="16"/>
        </w:numPr>
        <w:rPr>
          <w:b/>
          <w:bCs/>
        </w:rPr>
      </w:pPr>
      <w:commentRangeStart w:id="4"/>
      <w:r w:rsidRPr="00EA4FB3">
        <w:rPr>
          <w:b/>
          <w:bCs/>
        </w:rPr>
        <w:t xml:space="preserve">Pourquoi le test de </w:t>
      </w:r>
      <w:proofErr w:type="spellStart"/>
      <w:r w:rsidRPr="00EA4FB3">
        <w:rPr>
          <w:b/>
          <w:bCs/>
        </w:rPr>
        <w:t>Yuen</w:t>
      </w:r>
      <w:proofErr w:type="spellEnd"/>
      <w:r w:rsidRPr="00EA4FB3">
        <w:rPr>
          <w:b/>
          <w:bCs/>
        </w:rPr>
        <w:t xml:space="preserve"> est moins puissant que le test de </w:t>
      </w:r>
      <w:proofErr w:type="spellStart"/>
      <w:r w:rsidRPr="00EA4FB3">
        <w:rPr>
          <w:b/>
          <w:bCs/>
        </w:rPr>
        <w:t>Student</w:t>
      </w:r>
      <w:proofErr w:type="spellEnd"/>
      <w:r w:rsidRPr="00EA4FB3">
        <w:rPr>
          <w:b/>
          <w:bCs/>
        </w:rPr>
        <w:t xml:space="preserve"> quand les conditions sont ok ? </w:t>
      </w:r>
    </w:p>
    <w:p w14:paraId="454DB504" w14:textId="77777777" w:rsidR="00CA764F" w:rsidRPr="000C49D7" w:rsidRDefault="00CA764F" w:rsidP="00CA764F">
      <w:r>
        <w:t xml:space="preserve">Je crois que c’est parce que la moyenne est l’estimateur de tendance centrale associé à la plus faible variance quand toutes les conditions sont ok. </w:t>
      </w:r>
      <w:commentRangeEnd w:id="4"/>
      <w:r>
        <w:rPr>
          <w:rStyle w:val="Marquedecommentaire"/>
        </w:rPr>
        <w:commentReference w:id="4"/>
      </w:r>
    </w:p>
    <w:p w14:paraId="64F0F3A5" w14:textId="0D82B084" w:rsidR="00CA764F" w:rsidRPr="00CA764F" w:rsidRDefault="00CA764F" w:rsidP="00CA764F">
      <w:pPr>
        <w:pStyle w:val="Titre3"/>
        <w:numPr>
          <w:ilvl w:val="1"/>
          <w:numId w:val="1"/>
        </w:numPr>
      </w:pPr>
      <w:r>
        <w:t xml:space="preserve">Étudier la distribution d’échantillonnage du t de </w:t>
      </w:r>
      <w:proofErr w:type="spellStart"/>
      <w:r>
        <w:t>Student</w:t>
      </w:r>
      <w:proofErr w:type="spellEnd"/>
      <w:r>
        <w:t xml:space="preserve"> et du t de Welch (variance et </w:t>
      </w:r>
      <w:proofErr w:type="spellStart"/>
      <w:r>
        <w:t>expectancy</w:t>
      </w:r>
      <w:proofErr w:type="spellEnd"/>
      <w:r>
        <w:t>)</w:t>
      </w:r>
    </w:p>
    <w:p w14:paraId="1359A7D0" w14:textId="51662785" w:rsidR="002F75E6" w:rsidRDefault="002F75E6" w:rsidP="002F75E6">
      <w:pPr>
        <w:spacing w:after="0"/>
      </w:pPr>
    </w:p>
    <w:p w14:paraId="57070806" w14:textId="3C76D032" w:rsidR="00CA764F" w:rsidRDefault="00CA764F" w:rsidP="002F75E6">
      <w:pPr>
        <w:spacing w:after="0"/>
        <w:rPr>
          <w:b/>
          <w:bCs/>
          <w:color w:val="FF0000"/>
        </w:rPr>
      </w:pPr>
      <w:r w:rsidRPr="00CA764F">
        <w:rPr>
          <w:b/>
          <w:bCs/>
          <w:color w:val="FF0000"/>
        </w:rPr>
        <w:t xml:space="preserve">Dans l’article du l’ES, j’explique que la relation entre les tests t et les mesures de taille d’effet permettent de déterminer la moyenne et la variance des mesures d’ES. </w:t>
      </w:r>
      <w:proofErr w:type="spellStart"/>
      <w:r w:rsidRPr="00CA764F">
        <w:rPr>
          <w:b/>
          <w:bCs/>
          <w:color w:val="FF0000"/>
        </w:rPr>
        <w:t>Dc</w:t>
      </w:r>
      <w:proofErr w:type="spellEnd"/>
      <w:r w:rsidRPr="00CA764F">
        <w:rPr>
          <w:b/>
          <w:bCs/>
          <w:color w:val="FF0000"/>
        </w:rPr>
        <w:t xml:space="preserve"> c’est que je pourrai facilement faire pareil pour les stat t. étudier la distribution d’échantillonnage de ces statistiques pourrait m’aider à comprendre pourquoi parfois </w:t>
      </w:r>
      <w:proofErr w:type="spellStart"/>
      <w:r w:rsidRPr="00CA764F">
        <w:rPr>
          <w:b/>
          <w:bCs/>
          <w:color w:val="FF0000"/>
        </w:rPr>
        <w:t>welch</w:t>
      </w:r>
      <w:proofErr w:type="spellEnd"/>
      <w:r w:rsidRPr="00CA764F">
        <w:rPr>
          <w:b/>
          <w:bCs/>
          <w:color w:val="FF0000"/>
        </w:rPr>
        <w:t xml:space="preserve"> est supérieur à </w:t>
      </w:r>
      <w:proofErr w:type="spellStart"/>
      <w:r w:rsidRPr="00CA764F">
        <w:rPr>
          <w:b/>
          <w:bCs/>
          <w:color w:val="FF0000"/>
        </w:rPr>
        <w:t>student</w:t>
      </w:r>
      <w:proofErr w:type="spellEnd"/>
      <w:r w:rsidRPr="00CA764F">
        <w:rPr>
          <w:b/>
          <w:bCs/>
          <w:color w:val="FF0000"/>
        </w:rPr>
        <w:t xml:space="preserve"> et parfois c’est le contraire quand SDR=1 et n1 !=n2 ?</w:t>
      </w:r>
    </w:p>
    <w:p w14:paraId="351DD86B" w14:textId="55045AEF" w:rsidR="007861D7" w:rsidRPr="00CA764F" w:rsidRDefault="007861D7" w:rsidP="002F75E6">
      <w:pPr>
        <w:spacing w:after="0"/>
        <w:rPr>
          <w:b/>
          <w:bCs/>
          <w:color w:val="FF0000"/>
        </w:rPr>
      </w:pPr>
      <w:r>
        <w:rPr>
          <w:b/>
          <w:bCs/>
          <w:color w:val="FF0000"/>
        </w:rPr>
        <w:t xml:space="preserve"> </w:t>
      </w:r>
    </w:p>
    <w:p w14:paraId="66B81BBE" w14:textId="13E969BF" w:rsidR="003357FB" w:rsidRDefault="00D66AE5" w:rsidP="00264168">
      <w:pPr>
        <w:pStyle w:val="Titre3"/>
        <w:numPr>
          <w:ilvl w:val="1"/>
          <w:numId w:val="1"/>
        </w:numPr>
        <w:jc w:val="both"/>
      </w:pPr>
      <w:r>
        <w:t>Explication rapide de l’IC autour des tailles d’effet standardisées (lien avec le paramètre de non-centralité, bref l’annexe de la thèse à ce sujet).</w:t>
      </w:r>
    </w:p>
    <w:p w14:paraId="7C8A820D" w14:textId="77777777" w:rsidR="00CA764F" w:rsidRPr="00CA764F" w:rsidRDefault="00CA764F" w:rsidP="00CA764F"/>
    <w:p w14:paraId="656C2ADC" w14:textId="48206FEF" w:rsidR="00E77AE9" w:rsidRDefault="00E77AE9" w:rsidP="004834F4">
      <w:pPr>
        <w:jc w:val="both"/>
      </w:pPr>
      <w:r>
        <w:t xml:space="preserve">On a souvent tendance à imaginer la statistique t comme la différence de moyenne divisée par l’erreur standard, parce que très souvent, l’hypothèse nulle fixée est que mu1-mu2=0, alors qu’en fait, mu1-mu2 peut prendre n’importe quelle valeur. De plus, on a souvent tendance à représenter la distribution t comme une distribution symétrique (distribution centrale), parce qu’on représente sa distribution </w:t>
      </w:r>
      <w:r w:rsidRPr="00E77AE9">
        <w:rPr>
          <w:b/>
          <w:bCs/>
        </w:rPr>
        <w:t>sous l’hypothèse nulle</w:t>
      </w:r>
      <w:r w:rsidR="00B0471E">
        <w:rPr>
          <w:b/>
          <w:bCs/>
        </w:rPr>
        <w:t xml:space="preserve"> </w:t>
      </w:r>
      <w:r w:rsidR="00B0471E" w:rsidRPr="00B0471E">
        <w:t>(càd quand les 2 échantillons sont extraits de populations entre lesquelles la différence de moyenne correspond exactement à mu1-mu2, nos attentes théoriques)</w:t>
      </w:r>
      <w:r>
        <w:t>. Et donc, on dit qu’elle se caractérise uniquement par ses degrés de liberté (n-PA). Mais quand l’hypothèse nulle est fausse, elle devient non centrale (non symétrique), et donc elle se caractérise par 2 paramètres : ses degrés de liberté ET son paramètre de non centralité.</w:t>
      </w:r>
      <w:r w:rsidR="004834F4">
        <w:t xml:space="preserve"> Or, ce paramètre de non centralité est entre autres fonction de la taille d’effet dans la population. Voici l’exemple pour le d de Cohen traditionnel :</w:t>
      </w:r>
    </w:p>
    <w:p w14:paraId="56C5578C" w14:textId="2878FA98" w:rsidR="004834F4" w:rsidRPr="00E77AE9" w:rsidRDefault="00B61A95" w:rsidP="004834F4">
      <w:pPr>
        <w:jc w:val="center"/>
      </w:pPr>
      <m:oMathPara>
        <m:oMath>
          <m:r>
            <w:rPr>
              <w:rFonts w:ascii="Cambria Math" w:hAnsi="Cambria Math"/>
            </w:rPr>
            <m:t>∆=</m:t>
          </m:r>
          <m:f>
            <m:fPr>
              <m:ctrlPr>
                <w:rPr>
                  <w:rFonts w:ascii="Cambria Math" w:hAnsi="Cambria Math"/>
                  <w:i/>
                </w:rPr>
              </m:ctrlPr>
            </m:fPr>
            <m:num>
              <m:r>
                <w:rPr>
                  <w:rFonts w:ascii="Cambria Math" w:hAnsi="Cambria Math"/>
                </w:rPr>
                <m:t>δ</m:t>
              </m:r>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2</m:t>
                          </m:r>
                        </m:sub>
                      </m:sSub>
                    </m:den>
                  </m:f>
                </m:e>
              </m:rad>
            </m:den>
          </m:f>
          <m:r>
            <w:rPr>
              <w:rFonts w:ascii="Cambria Math" w:hAnsi="Cambria Math"/>
            </w:rPr>
            <m:t xml:space="preserve"> </m:t>
          </m:r>
          <m:box>
            <m:boxPr>
              <m:opEmu m:val="1"/>
              <m:ctrlPr>
                <w:rPr>
                  <w:rFonts w:ascii="Cambria Math" w:hAnsi="Cambria Math"/>
                  <w:i/>
                </w:rPr>
              </m:ctrlPr>
            </m:boxPr>
            <m:e>
              <m:groupChr>
                <m:groupChrPr>
                  <m:chr m:val="↔"/>
                  <m:pos m:val="top"/>
                  <m:ctrlPr>
                    <w:rPr>
                      <w:rFonts w:ascii="Cambria Math" w:hAnsi="Cambria Math"/>
                      <w:i/>
                    </w:rPr>
                  </m:ctrlPr>
                </m:groupChrPr>
                <m:e/>
              </m:groupChr>
            </m:e>
          </m:box>
          <m:r>
            <w:rPr>
              <w:rFonts w:ascii="Cambria Math" w:hAnsi="Cambria Math"/>
            </w:rPr>
            <m:t>δ</m:t>
          </m:r>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2</m:t>
                      </m:r>
                    </m:sub>
                  </m:sSub>
                </m:den>
              </m:f>
            </m:e>
          </m:rad>
        </m:oMath>
      </m:oMathPara>
    </w:p>
    <w:p w14:paraId="595BDE6C" w14:textId="0530896D" w:rsidR="00FE6259" w:rsidRDefault="00B61A95" w:rsidP="00FE6259">
      <w:r>
        <w:t>Ca fait qu’on va pouvoir calculer un IC autour du NCP</w:t>
      </w:r>
      <w:r w:rsidR="009D0E4C">
        <w:t>. On détermine :</w:t>
      </w:r>
    </w:p>
    <w:p w14:paraId="5496FB14" w14:textId="77777777" w:rsidR="009D0E4C" w:rsidRDefault="009D0E4C" w:rsidP="009D0E4C">
      <w:pPr>
        <w:pStyle w:val="Paragraphedeliste"/>
        <w:numPr>
          <w:ilvl w:val="0"/>
          <w:numId w:val="2"/>
        </w:numPr>
      </w:pPr>
      <w:r>
        <w:t xml:space="preserve">Le </w:t>
      </w:r>
      <w:proofErr w:type="spellStart"/>
      <w:r>
        <w:t>ncp</w:t>
      </w:r>
      <w:proofErr w:type="spellEnd"/>
      <w:r>
        <w:t xml:space="preserve"> de la distribution </w:t>
      </w:r>
      <w:r w:rsidRPr="009D0E4C">
        <w:rPr>
          <w:i/>
          <w:iCs/>
        </w:rPr>
        <w:t>t</w:t>
      </w:r>
      <w:r>
        <w:t xml:space="preserve"> telle que la statistique observée correspond à son 97.5</w:t>
      </w:r>
      <w:r w:rsidRPr="009D0E4C">
        <w:rPr>
          <w:vertAlign w:val="superscript"/>
        </w:rPr>
        <w:t>ème</w:t>
      </w:r>
      <w:r>
        <w:t xml:space="preserve"> percentile (pour avoir la borne inférieure).</w:t>
      </w:r>
    </w:p>
    <w:p w14:paraId="2952EA4B" w14:textId="77777777" w:rsidR="009D0E4C" w:rsidRDefault="009D0E4C" w:rsidP="009D0E4C">
      <w:pPr>
        <w:pStyle w:val="Paragraphedeliste"/>
        <w:numPr>
          <w:ilvl w:val="0"/>
          <w:numId w:val="2"/>
        </w:numPr>
      </w:pPr>
      <w:r>
        <w:t xml:space="preserve">Le </w:t>
      </w:r>
      <w:proofErr w:type="spellStart"/>
      <w:r>
        <w:t>ncp</w:t>
      </w:r>
      <w:proofErr w:type="spellEnd"/>
      <w:r>
        <w:t xml:space="preserve"> de la distribution </w:t>
      </w:r>
      <w:r w:rsidRPr="009D0E4C">
        <w:rPr>
          <w:i/>
          <w:iCs/>
        </w:rPr>
        <w:t>t</w:t>
      </w:r>
      <w:r>
        <w:t xml:space="preserve"> telle que la statistique observée correspond à son 2.5</w:t>
      </w:r>
      <w:r w:rsidRPr="009D0E4C">
        <w:rPr>
          <w:vertAlign w:val="superscript"/>
        </w:rPr>
        <w:t>ème</w:t>
      </w:r>
      <w:r>
        <w:t xml:space="preserve"> percentile (pour avoir la borne supérieure).</w:t>
      </w:r>
    </w:p>
    <w:p w14:paraId="3214BB9B" w14:textId="4AE371B4" w:rsidR="009D0E4C" w:rsidRDefault="009D0E4C" w:rsidP="009D0E4C">
      <w:pPr>
        <w:pStyle w:val="Paragraphedeliste"/>
        <w:numPr>
          <w:ilvl w:val="0"/>
          <w:numId w:val="5"/>
        </w:numPr>
      </w:pPr>
      <w:r>
        <w:t xml:space="preserve">On a les bornes de NCP, et on peut en déduire les bornes de la mesure de taille d’effet. </w:t>
      </w:r>
      <w:r w:rsidR="00322A6E">
        <w:t xml:space="preserve"> </w:t>
      </w:r>
      <w:r w:rsidR="00840390">
        <w:t xml:space="preserve"> </w:t>
      </w:r>
      <w:r>
        <w:t xml:space="preserve"> </w:t>
      </w:r>
    </w:p>
    <w:p w14:paraId="7254BDCE" w14:textId="24898605" w:rsidR="007566F2" w:rsidRDefault="007566F2" w:rsidP="00CA764F">
      <w:pPr>
        <w:pStyle w:val="Titre3"/>
        <w:numPr>
          <w:ilvl w:val="1"/>
          <w:numId w:val="1"/>
        </w:numPr>
      </w:pPr>
      <w:proofErr w:type="spellStart"/>
      <w:r>
        <w:t>Micceri</w:t>
      </w:r>
      <w:proofErr w:type="spellEnd"/>
    </w:p>
    <w:p w14:paraId="0FE95015" w14:textId="77777777" w:rsidR="00CA764F" w:rsidRDefault="00CA764F" w:rsidP="00CA764F">
      <w:pPr>
        <w:spacing w:after="0"/>
      </w:pPr>
    </w:p>
    <w:p w14:paraId="6EA60683" w14:textId="4952FE0F" w:rsidR="007566F2" w:rsidRDefault="007566F2" w:rsidP="00FE6259">
      <w:r>
        <w:t xml:space="preserve">Le relire, dans la mesure où c’est l’article de référence pour dire que les distributions normales sont irréalistes. Il a utilisé des échantillons d’environ 400 personnes. Relire un peu sa méthodologie, et faire 2/3 simulations pour voir si de tels échantillons sont suffisants pour clamer que la normalité n’est pas ok (ex. : voir la distribution d’échantillonnage et G1 et G2 avec 400 sujets par échantillon). </w:t>
      </w:r>
    </w:p>
    <w:p w14:paraId="5F5B2F6C" w14:textId="29544CA7" w:rsidR="00DE52B2" w:rsidRDefault="00DE52B2" w:rsidP="00DE52B2">
      <w:pPr>
        <w:pStyle w:val="Titre3"/>
      </w:pPr>
      <w:commentRangeStart w:id="5"/>
      <w:r>
        <w:lastRenderedPageBreak/>
        <w:t>Chapitre sur le test d’équivalence : comment j’ai créé la figure 28 (p.96</w:t>
      </w:r>
      <w:r w:rsidR="007C2FA8">
        <w:t>, partie relative à l’analyse de puissance</w:t>
      </w:r>
      <w:r>
        <w:t>)</w:t>
      </w:r>
      <w:commentRangeEnd w:id="5"/>
      <w:r w:rsidR="009821AD">
        <w:rPr>
          <w:rStyle w:val="Marquedecommentaire"/>
          <w:rFonts w:asciiTheme="minorHAnsi" w:eastAsiaTheme="minorHAnsi" w:hAnsiTheme="minorHAnsi" w:cstheme="minorBidi"/>
          <w:color w:val="auto"/>
        </w:rPr>
        <w:commentReference w:id="5"/>
      </w:r>
    </w:p>
    <w:p w14:paraId="690214D2" w14:textId="1E7DDCAE" w:rsidR="00384A22" w:rsidRDefault="00384A22" w:rsidP="0048004F">
      <w:pPr>
        <w:spacing w:after="0"/>
      </w:pPr>
    </w:p>
    <w:p w14:paraId="437145F2" w14:textId="3D819AC6" w:rsidR="0048004F" w:rsidRDefault="0048004F" w:rsidP="00384A22">
      <w:r w:rsidRPr="0048004F">
        <w:rPr>
          <w:b/>
          <w:bCs/>
          <w:u w:val="single"/>
        </w:rPr>
        <w:t>Approche de la puissance, explication du calcul pour la figure</w:t>
      </w:r>
      <w:r>
        <w:t xml:space="preserve"> : </w:t>
      </w:r>
    </w:p>
    <w:p w14:paraId="5D87CD36" w14:textId="47A0F161" w:rsidR="00A44683" w:rsidRDefault="00A44683" w:rsidP="00484658">
      <w:pPr>
        <w:pStyle w:val="Paragraphedeliste"/>
        <w:numPr>
          <w:ilvl w:val="0"/>
          <w:numId w:val="15"/>
        </w:numPr>
      </w:pPr>
      <w:r>
        <w:t>Pourquoi on ne conclura JAMAIS à l’équivalence quand la SE dépasse 7.07 ?</w:t>
      </w:r>
    </w:p>
    <w:p w14:paraId="66EE0232" w14:textId="0885FDD9" w:rsidR="00B26F77" w:rsidRDefault="00A44683" w:rsidP="00384A22">
      <w:r w:rsidRPr="00554AF3">
        <w:rPr>
          <w:b/>
          <w:bCs/>
        </w:rPr>
        <w:t>Réponse</w:t>
      </w:r>
      <w:r>
        <w:t xml:space="preserve"> : car il y a une contrainte de puissance ! </w:t>
      </w:r>
      <w:r w:rsidR="0048004F">
        <w:t xml:space="preserve"> </w:t>
      </w:r>
      <w:r w:rsidR="00F3683B">
        <w:t>Si on n’attein</w:t>
      </w:r>
      <w:r w:rsidR="00D15E64">
        <w:t>t</w:t>
      </w:r>
      <w:r w:rsidR="00F3683B">
        <w:t xml:space="preserve"> pas la puissance de 80%</w:t>
      </w:r>
      <w:r w:rsidR="00D15E64">
        <w:t xml:space="preserve"> pour détecter un effet aussi grand que le SESOI (qui correspond aux bornes de la zone d’équivalence)</w:t>
      </w:r>
      <w:r w:rsidR="00F3683B">
        <w:t>, on ne peut conclure à l’équivalence.</w:t>
      </w:r>
    </w:p>
    <w:p w14:paraId="7B6958AC" w14:textId="2C01948E" w:rsidR="00E020B2" w:rsidRPr="00484658" w:rsidRDefault="003C269F" w:rsidP="00484658">
      <w:pPr>
        <w:pStyle w:val="Paragraphedeliste"/>
        <w:numPr>
          <w:ilvl w:val="1"/>
          <w:numId w:val="15"/>
        </w:numPr>
        <w:rPr>
          <w:rFonts w:eastAsiaTheme="minorEastAsia"/>
        </w:rPr>
      </w:pPr>
      <w:r>
        <w:t>Avec des analyses de puissance</w:t>
      </w:r>
      <w:r w:rsidR="004E074D">
        <w:t xml:space="preserve"> (</w:t>
      </w:r>
      <w:proofErr w:type="spellStart"/>
      <w:r w:rsidR="004E074D">
        <w:t>sensitivity</w:t>
      </w:r>
      <w:proofErr w:type="spellEnd"/>
      <w:r w:rsidR="004E074D">
        <w:t xml:space="preserve"> analyses)</w:t>
      </w:r>
      <w:r>
        <w:t xml:space="preserve"> on est capable de déterminer la plus petite taille d’effet standardisée (mesure </w:t>
      </w:r>
      <w:r w:rsidRPr="00484658">
        <w:rPr>
          <w:i/>
          <w:iCs/>
        </w:rPr>
        <w:t>d</w:t>
      </w:r>
      <w:r>
        <w:t xml:space="preserve">) que l’on pourrait détecter avec une puissance de 80 % ( = </w:t>
      </w:r>
      <w:proofErr w:type="spellStart"/>
      <w:r>
        <w:t>d</w:t>
      </w:r>
      <w:r w:rsidRPr="00484658">
        <w:rPr>
          <w:vertAlign w:val="subscript"/>
        </w:rPr>
        <w:t>min</w:t>
      </w:r>
      <w:proofErr w:type="spellEnd"/>
      <w:r>
        <w:t>)</w:t>
      </w:r>
      <w:r w:rsidR="004E074D">
        <w:t>, compte tenu du n et du alpha</w:t>
      </w:r>
      <w:r>
        <w:t xml:space="preserve">. </w:t>
      </w:r>
    </w:p>
    <w:p w14:paraId="0A4CDA59" w14:textId="77777777" w:rsidR="00E020B2" w:rsidRPr="00E020B2" w:rsidRDefault="00E020B2" w:rsidP="00E020B2">
      <w:pPr>
        <w:pStyle w:val="Paragraphedeliste"/>
        <w:rPr>
          <w:rFonts w:eastAsiaTheme="minorEastAsia"/>
        </w:rPr>
      </w:pPr>
    </w:p>
    <w:p w14:paraId="4A03E896" w14:textId="0B4C1532" w:rsidR="00E020B2" w:rsidRDefault="00E020B2" w:rsidP="00E020B2">
      <w:pPr>
        <w:pStyle w:val="Paragraphedeliste"/>
        <w:rPr>
          <w:rFonts w:eastAsiaTheme="minorEastAsia"/>
          <w:i/>
          <w:iCs/>
          <w:color w:val="00B050"/>
        </w:rPr>
      </w:pPr>
      <w:r w:rsidRPr="00E020B2">
        <w:rPr>
          <w:rFonts w:eastAsiaTheme="minorEastAsia"/>
          <w:i/>
          <w:iCs/>
          <w:color w:val="00B050"/>
        </w:rPr>
        <w:t xml:space="preserve">Dans l’exemple de la thèse, </w:t>
      </w:r>
      <w:r>
        <w:rPr>
          <w:rFonts w:eastAsiaTheme="minorEastAsia"/>
          <w:i/>
          <w:iCs/>
          <w:color w:val="00B050"/>
        </w:rPr>
        <w:t xml:space="preserve">avec n = 50 par groupe et alpha = 5%, </w:t>
      </w:r>
      <w:r w:rsidRPr="00E020B2">
        <w:rPr>
          <w:rFonts w:eastAsiaTheme="minorEastAsia"/>
          <w:i/>
          <w:iCs/>
          <w:color w:val="00B050"/>
        </w:rPr>
        <w:t>ce d vaut 0.565</w:t>
      </w:r>
      <w:r>
        <w:rPr>
          <w:rFonts w:eastAsiaTheme="minorEastAsia"/>
          <w:i/>
          <w:iCs/>
          <w:color w:val="00B050"/>
        </w:rPr>
        <w:t xml:space="preserve">8… (illustra via R et </w:t>
      </w:r>
      <w:proofErr w:type="spellStart"/>
      <w:r>
        <w:rPr>
          <w:rFonts w:eastAsiaTheme="minorEastAsia"/>
          <w:i/>
          <w:iCs/>
          <w:color w:val="00B050"/>
        </w:rPr>
        <w:t>gpower</w:t>
      </w:r>
      <w:proofErr w:type="spellEnd"/>
      <w:r>
        <w:rPr>
          <w:rFonts w:eastAsiaTheme="minorEastAsia"/>
          <w:i/>
          <w:iCs/>
          <w:color w:val="00B050"/>
        </w:rPr>
        <w:t>)</w:t>
      </w:r>
      <w:r w:rsidR="00554AF3">
        <w:rPr>
          <w:rFonts w:eastAsiaTheme="minorEastAsia"/>
          <w:i/>
          <w:iCs/>
          <w:color w:val="00B050"/>
        </w:rPr>
        <w:t xml:space="preserve">. </w:t>
      </w:r>
      <w:r w:rsidR="002D3CF0">
        <w:rPr>
          <w:rFonts w:eastAsiaTheme="minorEastAsia"/>
          <w:i/>
          <w:iCs/>
          <w:color w:val="00B050"/>
        </w:rPr>
        <w:t>Ça</w:t>
      </w:r>
      <w:r w:rsidR="00554AF3">
        <w:rPr>
          <w:rFonts w:eastAsiaTheme="minorEastAsia"/>
          <w:i/>
          <w:iCs/>
          <w:color w:val="00B050"/>
        </w:rPr>
        <w:t xml:space="preserve"> veut dire </w:t>
      </w:r>
      <w:r w:rsidR="00DD52E6">
        <w:rPr>
          <w:rFonts w:eastAsiaTheme="minorEastAsia"/>
          <w:i/>
          <w:iCs/>
          <w:color w:val="00B050"/>
        </w:rPr>
        <w:t xml:space="preserve">concrètement que </w:t>
      </w:r>
      <w:r w:rsidR="00554AF3">
        <w:rPr>
          <w:rFonts w:eastAsiaTheme="minorEastAsia"/>
          <w:i/>
          <w:iCs/>
          <w:color w:val="00B050"/>
        </w:rPr>
        <w:t>.5658</w:t>
      </w:r>
      <w:r w:rsidR="00DD52E6">
        <w:rPr>
          <w:rFonts w:eastAsiaTheme="minorEastAsia"/>
          <w:i/>
          <w:iCs/>
          <w:color w:val="00B050"/>
        </w:rPr>
        <w:t xml:space="preserve"> correspond aux plus petites bornes standardisées qu’on peut fixer tout en assurant la puissance suffisante pour pouvoir conclure à l’équivalence</w:t>
      </w:r>
      <w:r w:rsidR="00554AF3">
        <w:rPr>
          <w:rFonts w:eastAsiaTheme="minorEastAsia"/>
          <w:i/>
          <w:iCs/>
          <w:color w:val="00B050"/>
        </w:rPr>
        <w:t xml:space="preserve">.  </w:t>
      </w:r>
    </w:p>
    <w:p w14:paraId="6D6DF8E2" w14:textId="2EA7CC32" w:rsidR="00E020B2" w:rsidRDefault="00E020B2" w:rsidP="00E020B2">
      <w:pPr>
        <w:pStyle w:val="Paragraphedeliste"/>
        <w:jc w:val="center"/>
        <w:rPr>
          <w:rFonts w:eastAsiaTheme="minorEastAsia"/>
          <w:i/>
          <w:iCs/>
          <w:color w:val="00B050"/>
        </w:rPr>
      </w:pPr>
      <w:r>
        <w:rPr>
          <w:noProof/>
        </w:rPr>
        <w:drawing>
          <wp:inline distT="0" distB="0" distL="0" distR="0" wp14:anchorId="72754739" wp14:editId="72E48E2F">
            <wp:extent cx="3035300" cy="1476566"/>
            <wp:effectExtent l="0" t="0" r="0" b="9525"/>
            <wp:docPr id="2" name="Image 2"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able&#10;&#10;Description générée automatiquement"/>
                    <pic:cNvPicPr/>
                  </pic:nvPicPr>
                  <pic:blipFill>
                    <a:blip r:embed="rId17"/>
                    <a:stretch>
                      <a:fillRect/>
                    </a:stretch>
                  </pic:blipFill>
                  <pic:spPr>
                    <a:xfrm>
                      <a:off x="0" y="0"/>
                      <a:ext cx="3047300" cy="1482404"/>
                    </a:xfrm>
                    <a:prstGeom prst="rect">
                      <a:avLst/>
                    </a:prstGeom>
                  </pic:spPr>
                </pic:pic>
              </a:graphicData>
            </a:graphic>
          </wp:inline>
        </w:drawing>
      </w:r>
    </w:p>
    <w:p w14:paraId="13C76249" w14:textId="22ABE55E" w:rsidR="00E020B2" w:rsidRPr="00E020B2" w:rsidRDefault="00644B60" w:rsidP="00E020B2">
      <w:pPr>
        <w:pStyle w:val="Paragraphedeliste"/>
        <w:jc w:val="center"/>
        <w:rPr>
          <w:rFonts w:eastAsiaTheme="minorEastAsia"/>
          <w:i/>
          <w:iCs/>
          <w:color w:val="00B050"/>
        </w:rPr>
      </w:pPr>
      <w:r>
        <w:rPr>
          <w:noProof/>
        </w:rPr>
        <w:drawing>
          <wp:inline distT="0" distB="0" distL="0" distR="0" wp14:anchorId="432B4214" wp14:editId="165537E0">
            <wp:extent cx="1640711" cy="685800"/>
            <wp:effectExtent l="0" t="0" r="0" b="0"/>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18"/>
                    <a:stretch>
                      <a:fillRect/>
                    </a:stretch>
                  </pic:blipFill>
                  <pic:spPr>
                    <a:xfrm>
                      <a:off x="0" y="0"/>
                      <a:ext cx="1647352" cy="688576"/>
                    </a:xfrm>
                    <a:prstGeom prst="rect">
                      <a:avLst/>
                    </a:prstGeom>
                  </pic:spPr>
                </pic:pic>
              </a:graphicData>
            </a:graphic>
          </wp:inline>
        </w:drawing>
      </w:r>
      <w:r w:rsidR="00E020B2">
        <w:rPr>
          <w:noProof/>
        </w:rPr>
        <w:drawing>
          <wp:inline distT="0" distB="0" distL="0" distR="0" wp14:anchorId="05CEFFE9" wp14:editId="799EBB84">
            <wp:extent cx="3060700" cy="930268"/>
            <wp:effectExtent l="0" t="0" r="6350" b="3810"/>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19"/>
                    <a:stretch>
                      <a:fillRect/>
                    </a:stretch>
                  </pic:blipFill>
                  <pic:spPr>
                    <a:xfrm>
                      <a:off x="0" y="0"/>
                      <a:ext cx="3107079" cy="944365"/>
                    </a:xfrm>
                    <a:prstGeom prst="rect">
                      <a:avLst/>
                    </a:prstGeom>
                  </pic:spPr>
                </pic:pic>
              </a:graphicData>
            </a:graphic>
          </wp:inline>
        </w:drawing>
      </w:r>
    </w:p>
    <w:p w14:paraId="31CC11D7" w14:textId="77777777" w:rsidR="003F5B62" w:rsidRPr="003F5B62" w:rsidRDefault="003F5B62" w:rsidP="003F5B62">
      <w:pPr>
        <w:pStyle w:val="Paragraphedeliste"/>
        <w:ind w:left="1080"/>
        <w:rPr>
          <w:rFonts w:eastAsiaTheme="minorEastAsia"/>
        </w:rPr>
      </w:pPr>
    </w:p>
    <w:p w14:paraId="7D10F4D9" w14:textId="35E5F6FA" w:rsidR="00382480" w:rsidRPr="00484658" w:rsidRDefault="004E074D" w:rsidP="00484658">
      <w:pPr>
        <w:pStyle w:val="Paragraphedeliste"/>
        <w:numPr>
          <w:ilvl w:val="1"/>
          <w:numId w:val="15"/>
        </w:numPr>
        <w:jc w:val="both"/>
        <w:rPr>
          <w:rFonts w:eastAsiaTheme="minorEastAsia"/>
        </w:rPr>
      </w:pPr>
      <w:r>
        <w:t xml:space="preserve">Dans l’énoncé, on n’a pas fixé les bornes </w:t>
      </w:r>
      <w:r w:rsidR="009665F6">
        <w:t xml:space="preserve">de la zone d’équivalence </w:t>
      </w:r>
      <w:r>
        <w:t xml:space="preserve">en unité standardisées, mais en unités brutes (en différences de moyenne). </w:t>
      </w:r>
      <w:r w:rsidR="003F5B62">
        <w:t xml:space="preserve">On a choisi de fixer ces bornes à </w:t>
      </w:r>
      <w:proofErr w:type="spellStart"/>
      <w:r>
        <w:t>theta</w:t>
      </w:r>
      <w:proofErr w:type="spellEnd"/>
      <w:r>
        <w:t xml:space="preserve"> = 20. Heureusement, on connait le lien entre le </w:t>
      </w:r>
      <w:r w:rsidRPr="00484658">
        <w:rPr>
          <w:i/>
          <w:iCs/>
        </w:rPr>
        <w:t>d</w:t>
      </w:r>
      <w:r>
        <w:t xml:space="preserve"> standardisé et la différence brute de moyenne : </w:t>
      </w:r>
    </w:p>
    <w:p w14:paraId="75280D5C" w14:textId="77777777" w:rsidR="00382480" w:rsidRDefault="003C269F" w:rsidP="00382480">
      <w:pPr>
        <w:pStyle w:val="Paragraphedeliste"/>
        <w:ind w:left="1080"/>
        <w:jc w:val="center"/>
        <w:rPr>
          <w:rFonts w:eastAsiaTheme="minorEastAsia"/>
        </w:rPr>
      </w:pPr>
      <m:oMath>
        <m:r>
          <w:rPr>
            <w:rFonts w:ascii="Cambria Math" w:eastAsiaTheme="minorEastAsia" w:hAnsi="Cambria Math"/>
          </w:rPr>
          <m:t>d=</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num>
          <m:den>
            <m:r>
              <w:rPr>
                <w:rFonts w:ascii="Cambria Math" w:hAnsi="Cambria Math"/>
              </w:rPr>
              <m:t>S</m:t>
            </m:r>
          </m:den>
        </m:f>
      </m:oMath>
      <w:r>
        <w:rPr>
          <w:rFonts w:eastAsiaTheme="minorEastAsia"/>
        </w:rPr>
        <w:t xml:space="preserve"> </w:t>
      </w:r>
    </w:p>
    <w:p w14:paraId="3270EBB2" w14:textId="7DCB2501" w:rsidR="003C269F" w:rsidRDefault="00382480" w:rsidP="00382480">
      <w:pPr>
        <w:pStyle w:val="Paragraphedeliste"/>
        <w:ind w:left="1080"/>
        <w:jc w:val="both"/>
        <w:rPr>
          <w:rFonts w:eastAsiaTheme="minorEastAsia"/>
        </w:rPr>
      </w:pPr>
      <w:r>
        <w:rPr>
          <w:rFonts w:eastAsiaTheme="minorEastAsia"/>
        </w:rPr>
        <w:t xml:space="preserve">Dans notre exemple,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w:rPr>
            <w:rFonts w:ascii="Cambria Math" w:hAnsi="Cambria Math"/>
          </w:rPr>
          <m:t>=theta=20</m:t>
        </m:r>
      </m:oMath>
      <w:r>
        <w:rPr>
          <w:rFonts w:eastAsiaTheme="minorEastAsia"/>
        </w:rPr>
        <w:t xml:space="preserve">. Si l’on </w:t>
      </w:r>
      <w:r w:rsidR="003F5B62">
        <w:rPr>
          <w:rFonts w:eastAsiaTheme="minorEastAsia"/>
        </w:rPr>
        <w:t xml:space="preserve">connait </w:t>
      </w:r>
      <w:r w:rsidR="00290B7E">
        <w:rPr>
          <w:rFonts w:eastAsiaTheme="minorEastAsia"/>
        </w:rPr>
        <w:t xml:space="preserve">la plus petite valeur que peut prendre </w:t>
      </w:r>
      <w:r w:rsidR="003F5B62" w:rsidRPr="00290B7E">
        <w:rPr>
          <w:rFonts w:eastAsiaTheme="minorEastAsia"/>
          <w:i/>
          <w:iCs/>
        </w:rPr>
        <w:t>d</w:t>
      </w:r>
      <w:r w:rsidR="003F5B62">
        <w:rPr>
          <w:rFonts w:eastAsiaTheme="minorEastAsia"/>
        </w:rPr>
        <w:t xml:space="preserve"> (on l’a déterminé au point précédent), on </w:t>
      </w:r>
      <w:r w:rsidR="00290B7E">
        <w:rPr>
          <w:rFonts w:eastAsiaTheme="minorEastAsia"/>
        </w:rPr>
        <w:t>pourra en déduire la plus grande valeur que pourra prendre S</w:t>
      </w:r>
      <w:r>
        <w:rPr>
          <w:rFonts w:eastAsiaTheme="minorEastAsia"/>
        </w:rPr>
        <w:t xml:space="preserve"> (S reste en effet la seule inconnue de l’équation)</w:t>
      </w:r>
      <w:r w:rsidR="003F5B62">
        <w:rPr>
          <w:rFonts w:eastAsiaTheme="minorEastAsia"/>
        </w:rPr>
        <w:t>.</w:t>
      </w:r>
      <w:r>
        <w:rPr>
          <w:rFonts w:eastAsiaTheme="minorEastAsia"/>
        </w:rPr>
        <w:t xml:space="preserve"> </w:t>
      </w:r>
    </w:p>
    <w:p w14:paraId="34DB5BDD" w14:textId="77777777" w:rsidR="00290B7E" w:rsidRDefault="00290B7E" w:rsidP="00290B7E">
      <w:pPr>
        <w:rPr>
          <w:rFonts w:eastAsiaTheme="minorEastAsia"/>
        </w:rPr>
      </w:pPr>
      <w:r w:rsidRPr="00290B7E">
        <w:rPr>
          <w:rFonts w:eastAsiaTheme="minorEastAsia"/>
          <w:u w:val="single"/>
        </w:rPr>
        <w:t>Remarque</w:t>
      </w:r>
      <w:r w:rsidRPr="00290B7E">
        <w:rPr>
          <w:rFonts w:eastAsiaTheme="minorEastAsia"/>
        </w:rPr>
        <w:t xml:space="preserve"> : </w:t>
      </w:r>
      <w:r w:rsidR="003C269F" w:rsidRPr="00290B7E">
        <w:rPr>
          <w:rFonts w:eastAsiaTheme="minorEastAsia"/>
        </w:rPr>
        <w:t xml:space="preserve">Forcément, le plus petit </w:t>
      </w:r>
      <w:r w:rsidR="003C269F" w:rsidRPr="00C741AE">
        <w:rPr>
          <w:rFonts w:eastAsiaTheme="minorEastAsia"/>
          <w:i/>
          <w:iCs/>
        </w:rPr>
        <w:t>d</w:t>
      </w:r>
      <w:r w:rsidR="003C269F" w:rsidRPr="00290B7E">
        <w:rPr>
          <w:rFonts w:eastAsiaTheme="minorEastAsia"/>
        </w:rPr>
        <w:t xml:space="preserve"> autorisé sera celui qui est associé au plus grand </w:t>
      </w:r>
      <w:r w:rsidR="003C269F" w:rsidRPr="00C741AE">
        <w:rPr>
          <w:rFonts w:eastAsiaTheme="minorEastAsia"/>
          <w:i/>
          <w:iCs/>
        </w:rPr>
        <w:t>S</w:t>
      </w:r>
      <w:r w:rsidR="003C269F" w:rsidRPr="00290B7E">
        <w:rPr>
          <w:rFonts w:eastAsiaTheme="minorEastAsia"/>
        </w:rPr>
        <w:t xml:space="preserve"> autorisé (puisque </w:t>
      </w:r>
      <w:proofErr w:type="spellStart"/>
      <w:r w:rsidR="003C269F" w:rsidRPr="00290B7E">
        <w:rPr>
          <w:rFonts w:eastAsiaTheme="minorEastAsia"/>
        </w:rPr>
        <w:t>theta</w:t>
      </w:r>
      <w:proofErr w:type="spellEnd"/>
      <w:r w:rsidR="003C269F" w:rsidRPr="00290B7E">
        <w:rPr>
          <w:rFonts w:eastAsiaTheme="minorEastAsia"/>
        </w:rPr>
        <w:t xml:space="preserve"> est constant</w:t>
      </w:r>
      <w:r w:rsidR="00E020B2" w:rsidRPr="00290B7E">
        <w:rPr>
          <w:rFonts w:eastAsiaTheme="minorEastAsia"/>
        </w:rPr>
        <w:t>, plus S sera grand, plus d sera petit</w:t>
      </w:r>
      <w:r w:rsidR="003C269F" w:rsidRPr="00290B7E">
        <w:rPr>
          <w:rFonts w:eastAsiaTheme="minorEastAsia"/>
        </w:rPr>
        <w:t xml:space="preserve">) : </w:t>
      </w:r>
    </w:p>
    <w:p w14:paraId="7E95FE35" w14:textId="77777777" w:rsidR="00290B7E" w:rsidRDefault="003C269F" w:rsidP="00290B7E">
      <w:pPr>
        <w:jc w:val="center"/>
        <w:rPr>
          <w:rFonts w:eastAsiaTheme="minorEastAsia"/>
        </w:rPr>
      </w:pPr>
      <m:oMath>
        <m:r>
          <w:rPr>
            <w:rFonts w:ascii="Cambria Math" w:eastAsiaTheme="minorEastAsia" w:hAnsi="Cambria Math"/>
          </w:rPr>
          <m:t>d_min=</m:t>
        </m:r>
        <m:f>
          <m:fPr>
            <m:ctrlPr>
              <w:rPr>
                <w:rFonts w:ascii="Cambria Math" w:hAnsi="Cambria Math"/>
                <w:i/>
              </w:rPr>
            </m:ctrlPr>
          </m:fPr>
          <m:num>
            <m:r>
              <w:rPr>
                <w:rFonts w:ascii="Cambria Math" w:hAnsi="Cambria Math"/>
              </w:rPr>
              <m:t>theta</m:t>
            </m:r>
          </m:num>
          <m:den>
            <m:r>
              <w:rPr>
                <w:rFonts w:ascii="Cambria Math" w:hAnsi="Cambria Math"/>
              </w:rPr>
              <m:t>S_max</m:t>
            </m:r>
          </m:den>
        </m:f>
      </m:oMath>
      <w:r w:rsidRPr="00290B7E">
        <w:rPr>
          <w:rFonts w:eastAsiaTheme="minorEastAsia"/>
        </w:rPr>
        <w:t xml:space="preserve"> </w:t>
      </w:r>
      <w:r w:rsidRPr="003C269F">
        <w:sym w:font="Wingdings" w:char="F0DF"/>
      </w:r>
      <w:r w:rsidRPr="003C269F">
        <w:sym w:font="Wingdings" w:char="F0E0"/>
      </w:r>
      <w:r w:rsidRPr="00290B7E">
        <w:rPr>
          <w:rFonts w:ascii="Cambria Math" w:eastAsiaTheme="minorEastAsia" w:hAnsi="Cambria Math"/>
          <w:i/>
        </w:rPr>
        <w:t xml:space="preserve"> </w:t>
      </w:r>
      <m:oMath>
        <m:r>
          <w:rPr>
            <w:rFonts w:ascii="Cambria Math" w:hAnsi="Cambria Math"/>
          </w:rPr>
          <m:t>S_max</m:t>
        </m:r>
        <m:r>
          <w:rPr>
            <w:rFonts w:ascii="Cambria Math" w:eastAsiaTheme="minorEastAsia" w:hAnsi="Cambria Math"/>
          </w:rPr>
          <m:t>=</m:t>
        </m:r>
        <m:f>
          <m:fPr>
            <m:ctrlPr>
              <w:rPr>
                <w:rFonts w:ascii="Cambria Math" w:hAnsi="Cambria Math"/>
                <w:i/>
              </w:rPr>
            </m:ctrlPr>
          </m:fPr>
          <m:num>
            <m:r>
              <w:rPr>
                <w:rFonts w:ascii="Cambria Math" w:hAnsi="Cambria Math"/>
              </w:rPr>
              <m:t>theta</m:t>
            </m:r>
          </m:num>
          <m:den>
            <m:r>
              <w:rPr>
                <w:rFonts w:ascii="Cambria Math" w:eastAsiaTheme="minorEastAsia" w:hAnsi="Cambria Math"/>
              </w:rPr>
              <m:t>d_min</m:t>
            </m:r>
          </m:den>
        </m:f>
      </m:oMath>
    </w:p>
    <w:p w14:paraId="2E8E237A" w14:textId="77777777" w:rsidR="00290B7E" w:rsidRDefault="00290B7E" w:rsidP="00290B7E">
      <w:pPr>
        <w:jc w:val="center"/>
        <w:rPr>
          <w:rFonts w:eastAsiaTheme="minorEastAsia"/>
        </w:rPr>
      </w:pPr>
    </w:p>
    <w:p w14:paraId="79646FE3" w14:textId="6436F716" w:rsidR="00290B7E" w:rsidRPr="00290B7E" w:rsidRDefault="00290B7E" w:rsidP="00290B7E">
      <w:pPr>
        <w:jc w:val="center"/>
        <w:rPr>
          <w:rFonts w:eastAsiaTheme="minorEastAsia"/>
          <w:i/>
          <w:iCs/>
          <w:color w:val="00B050"/>
        </w:rPr>
      </w:pPr>
      <w:r w:rsidRPr="00290B7E">
        <w:rPr>
          <w:rFonts w:eastAsiaTheme="minorEastAsia"/>
          <w:i/>
          <w:iCs/>
          <w:color w:val="00B050"/>
        </w:rPr>
        <w:t xml:space="preserve">Dans l’exemple de la thèse, </w:t>
      </w:r>
      <m:oMath>
        <m:r>
          <w:rPr>
            <w:rFonts w:ascii="Cambria Math" w:eastAsiaTheme="minorEastAsia" w:hAnsi="Cambria Math"/>
            <w:color w:val="00B050"/>
          </w:rPr>
          <m:t>.5658=</m:t>
        </m:r>
        <m:f>
          <m:fPr>
            <m:ctrlPr>
              <w:rPr>
                <w:rFonts w:ascii="Cambria Math" w:hAnsi="Cambria Math"/>
                <w:i/>
                <w:iCs/>
                <w:color w:val="00B050"/>
              </w:rPr>
            </m:ctrlPr>
          </m:fPr>
          <m:num>
            <m:r>
              <w:rPr>
                <w:rFonts w:ascii="Cambria Math" w:hAnsi="Cambria Math"/>
                <w:color w:val="00B050"/>
              </w:rPr>
              <m:t>20</m:t>
            </m:r>
          </m:num>
          <m:den>
            <m:r>
              <w:rPr>
                <w:rFonts w:ascii="Cambria Math" w:hAnsi="Cambria Math"/>
                <w:color w:val="00B050"/>
              </w:rPr>
              <m:t>S_max</m:t>
            </m:r>
          </m:den>
        </m:f>
      </m:oMath>
      <w:r w:rsidRPr="00290B7E">
        <w:rPr>
          <w:rFonts w:eastAsiaTheme="minorEastAsia"/>
          <w:i/>
          <w:iCs/>
          <w:color w:val="00B050"/>
        </w:rPr>
        <w:t xml:space="preserve"> </w:t>
      </w:r>
      <w:r w:rsidRPr="00290B7E">
        <w:rPr>
          <w:i/>
          <w:iCs/>
          <w:color w:val="00B050"/>
        </w:rPr>
        <w:sym w:font="Wingdings" w:char="F0DF"/>
      </w:r>
      <w:r w:rsidRPr="00290B7E">
        <w:rPr>
          <w:i/>
          <w:iCs/>
          <w:color w:val="00B050"/>
        </w:rPr>
        <w:sym w:font="Wingdings" w:char="F0E0"/>
      </w:r>
      <w:r w:rsidRPr="00290B7E">
        <w:rPr>
          <w:rFonts w:ascii="Cambria Math" w:eastAsiaTheme="minorEastAsia" w:hAnsi="Cambria Math"/>
          <w:i/>
          <w:iCs/>
          <w:color w:val="00B050"/>
        </w:rPr>
        <w:t xml:space="preserve"> </w:t>
      </w:r>
      <m:oMath>
        <m:sSub>
          <m:sSubPr>
            <m:ctrlPr>
              <w:rPr>
                <w:rFonts w:ascii="Cambria Math" w:hAnsi="Cambria Math"/>
                <w:i/>
                <w:iCs/>
                <w:color w:val="00B050"/>
              </w:rPr>
            </m:ctrlPr>
          </m:sSubPr>
          <m:e>
            <m:r>
              <w:rPr>
                <w:rFonts w:ascii="Cambria Math" w:hAnsi="Cambria Math"/>
                <w:color w:val="00B050"/>
              </w:rPr>
              <m:t>S</m:t>
            </m:r>
          </m:e>
          <m:sub>
            <m:r>
              <w:rPr>
                <w:rFonts w:ascii="Cambria Math" w:hAnsi="Cambria Math"/>
                <w:color w:val="00B050"/>
              </w:rPr>
              <m:t>max</m:t>
            </m:r>
          </m:sub>
        </m:sSub>
        <m:r>
          <w:rPr>
            <w:rFonts w:ascii="Cambria Math" w:eastAsiaTheme="minorEastAsia" w:hAnsi="Cambria Math"/>
            <w:color w:val="00B050"/>
          </w:rPr>
          <m:t>=</m:t>
        </m:r>
        <m:f>
          <m:fPr>
            <m:ctrlPr>
              <w:rPr>
                <w:rFonts w:ascii="Cambria Math" w:hAnsi="Cambria Math"/>
                <w:i/>
                <w:iCs/>
                <w:color w:val="00B050"/>
              </w:rPr>
            </m:ctrlPr>
          </m:fPr>
          <m:num>
            <m:r>
              <w:rPr>
                <w:rFonts w:ascii="Cambria Math" w:hAnsi="Cambria Math"/>
                <w:color w:val="00B050"/>
              </w:rPr>
              <m:t>20</m:t>
            </m:r>
          </m:num>
          <m:den>
            <m:r>
              <w:rPr>
                <w:rFonts w:ascii="Cambria Math" w:eastAsiaTheme="minorEastAsia" w:hAnsi="Cambria Math"/>
                <w:color w:val="00B050"/>
              </w:rPr>
              <m:t>.5658</m:t>
            </m:r>
          </m:den>
        </m:f>
        <m:r>
          <w:rPr>
            <w:rFonts w:ascii="Cambria Math" w:hAnsi="Cambria Math"/>
            <w:color w:val="00B050"/>
          </w:rPr>
          <m:t>=</m:t>
        </m:r>
      </m:oMath>
      <w:r w:rsidRPr="00290B7E">
        <w:rPr>
          <w:rFonts w:ascii="Cambria Math" w:eastAsiaTheme="minorEastAsia" w:hAnsi="Cambria Math"/>
          <w:i/>
          <w:iCs/>
          <w:color w:val="00B050"/>
        </w:rPr>
        <w:t>35.3446</w:t>
      </w:r>
    </w:p>
    <w:p w14:paraId="237C7A16" w14:textId="77777777" w:rsidR="00290B7E" w:rsidRPr="00290B7E" w:rsidRDefault="00290B7E" w:rsidP="003C269F">
      <w:pPr>
        <w:rPr>
          <w:rFonts w:eastAsiaTheme="minorEastAsia"/>
          <w:i/>
          <w:iCs/>
        </w:rPr>
      </w:pPr>
    </w:p>
    <w:p w14:paraId="63B92276" w14:textId="39BE03A7" w:rsidR="00290B7E" w:rsidRPr="00484658" w:rsidRDefault="00290B7E" w:rsidP="00484658">
      <w:pPr>
        <w:pStyle w:val="Paragraphedeliste"/>
        <w:numPr>
          <w:ilvl w:val="1"/>
          <w:numId w:val="15"/>
        </w:numPr>
        <w:rPr>
          <w:rFonts w:eastAsiaTheme="minorEastAsia"/>
        </w:rPr>
      </w:pPr>
      <w:r>
        <w:lastRenderedPageBreak/>
        <w:t>On connait le lien entre S et SE (quand n</w:t>
      </w:r>
      <w:r w:rsidRPr="00484658">
        <w:rPr>
          <w:vertAlign w:val="subscript"/>
        </w:rPr>
        <w:t>1</w:t>
      </w:r>
      <w:r>
        <w:t xml:space="preserve"> = n</w:t>
      </w:r>
      <w:r w:rsidRPr="00484658">
        <w:rPr>
          <w:vertAlign w:val="subscript"/>
        </w:rPr>
        <w:t>2</w:t>
      </w:r>
      <w:r>
        <w:t xml:space="preserve"> et S</w:t>
      </w:r>
      <w:r w:rsidRPr="00484658">
        <w:rPr>
          <w:vertAlign w:val="subscript"/>
        </w:rPr>
        <w:t>1</w:t>
      </w:r>
      <w:r>
        <w:t>=S</w:t>
      </w:r>
      <w:r w:rsidRPr="00484658">
        <w:rPr>
          <w:vertAlign w:val="subscript"/>
        </w:rPr>
        <w:t>2</w:t>
      </w:r>
      <w:r>
        <w:t xml:space="preserve">). </w:t>
      </w:r>
      <w:r w:rsidRPr="00484658">
        <w:rPr>
          <w:rFonts w:eastAsiaTheme="minorEastAsia"/>
        </w:rPr>
        <w:t>Du coup, lor</w:t>
      </w:r>
      <w:r w:rsidR="00C741AE" w:rsidRPr="00484658">
        <w:rPr>
          <w:rFonts w:eastAsiaTheme="minorEastAsia"/>
        </w:rPr>
        <w:t>s</w:t>
      </w:r>
      <w:r w:rsidRPr="00484658">
        <w:rPr>
          <w:rFonts w:eastAsiaTheme="minorEastAsia"/>
        </w:rPr>
        <w:t xml:space="preserve">qu’on a déterminé </w:t>
      </w:r>
      <w:proofErr w:type="spellStart"/>
      <w:r w:rsidRPr="00484658">
        <w:rPr>
          <w:rFonts w:eastAsiaTheme="minorEastAsia"/>
        </w:rPr>
        <w:t>S</w:t>
      </w:r>
      <w:r w:rsidRPr="00484658">
        <w:rPr>
          <w:rFonts w:eastAsiaTheme="minorEastAsia"/>
          <w:vertAlign w:val="subscript"/>
        </w:rPr>
        <w:t>max</w:t>
      </w:r>
      <w:proofErr w:type="spellEnd"/>
      <w:r w:rsidRPr="00484658">
        <w:rPr>
          <w:rFonts w:eastAsiaTheme="minorEastAsia"/>
        </w:rPr>
        <w:t>, il est très facile d’en déduire le plus grand SE autorisé pour atteindre la puissance de 80%.</w:t>
      </w:r>
    </w:p>
    <w:p w14:paraId="16063807" w14:textId="71766E57" w:rsidR="00290B7E" w:rsidRDefault="00290B7E" w:rsidP="00290B7E">
      <w:pPr>
        <w:pStyle w:val="Paragraphedeliste"/>
        <w:ind w:left="1080"/>
        <w:jc w:val="center"/>
        <w:rPr>
          <w:rFonts w:eastAsiaTheme="minorEastAsia"/>
        </w:rPr>
      </w:pPr>
      <m:oMath>
        <m:r>
          <w:rPr>
            <w:rFonts w:ascii="Cambria Math" w:hAnsi="Cambria Math"/>
          </w:rPr>
          <m:t>SE</m:t>
        </m:r>
        <m:r>
          <w:rPr>
            <w:rFonts w:ascii="Cambria Math" w:eastAsiaTheme="minorEastAsia" w:hAnsi="Cambria Math"/>
          </w:rPr>
          <m:t>=</m:t>
        </m:r>
        <m:r>
          <w:rPr>
            <w:rFonts w:ascii="Cambria Math" w:hAnsi="Cambria Math"/>
          </w:rPr>
          <m:t>S×</m:t>
        </m:r>
        <m:rad>
          <m:radPr>
            <m:degHide m:val="1"/>
            <m:ctrlPr>
              <w:rPr>
                <w:rFonts w:ascii="Cambria Math" w:eastAsiaTheme="minorEastAsia" w:hAnsi="Cambria Math"/>
                <w:i/>
              </w:rPr>
            </m:ctrlPr>
          </m:radPr>
          <m:deg/>
          <m:e>
            <m:r>
              <w:rPr>
                <w:rFonts w:ascii="Cambria Math" w:eastAsiaTheme="minorEastAsia" w:hAnsi="Cambria Math"/>
              </w:rPr>
              <m:t>2/n</m:t>
            </m:r>
          </m:e>
        </m:rad>
      </m:oMath>
      <w:r>
        <w:rPr>
          <w:rFonts w:eastAsiaTheme="minorEastAsia"/>
        </w:rPr>
        <w:t xml:space="preserve"> </w:t>
      </w:r>
      <w:r w:rsidRPr="00290B7E">
        <w:rPr>
          <w:rFonts w:eastAsiaTheme="minorEastAsia"/>
        </w:rPr>
        <w:sym w:font="Wingdings" w:char="F0DF"/>
      </w:r>
      <w:r>
        <w:rPr>
          <w:rFonts w:eastAsiaTheme="minorEastAsia"/>
        </w:rPr>
        <w:t xml:space="preserve"> </w:t>
      </w:r>
      <w:r w:rsidRPr="00290B7E">
        <w:rPr>
          <w:rFonts w:eastAsiaTheme="minorEastAsia"/>
        </w:rPr>
        <w:sym w:font="Wingdings" w:char="F0E0"/>
      </w:r>
      <w:r>
        <w:rPr>
          <w:rFonts w:eastAsiaTheme="minorEastAsia"/>
        </w:rPr>
        <w:t xml:space="preserve"> </w:t>
      </w:r>
      <m:oMath>
        <m:sSub>
          <m:sSubPr>
            <m:ctrlPr>
              <w:rPr>
                <w:rFonts w:ascii="Cambria Math" w:hAnsi="Cambria Math"/>
                <w:i/>
              </w:rPr>
            </m:ctrlPr>
          </m:sSubPr>
          <m:e>
            <m:r>
              <w:rPr>
                <w:rFonts w:ascii="Cambria Math" w:hAnsi="Cambria Math"/>
              </w:rPr>
              <m:t>SE</m:t>
            </m:r>
          </m:e>
          <m:sub>
            <m:r>
              <w:rPr>
                <w:rFonts w:ascii="Cambria Math" w:hAnsi="Cambria Math"/>
              </w:rPr>
              <m:t>max</m:t>
            </m:r>
          </m:sub>
        </m:sSub>
        <m:r>
          <w:rPr>
            <w:rFonts w:ascii="Cambria Math" w:eastAsiaTheme="minorEastAsia" w:hAnsi="Cambria Math"/>
          </w:rPr>
          <m:t>=</m:t>
        </m:r>
        <m:sSub>
          <m:sSubPr>
            <m:ctrlPr>
              <w:rPr>
                <w:rFonts w:ascii="Cambria Math" w:hAnsi="Cambria Math"/>
                <w:i/>
              </w:rPr>
            </m:ctrlPr>
          </m:sSubPr>
          <m:e>
            <m:r>
              <w:rPr>
                <w:rFonts w:ascii="Cambria Math" w:hAnsi="Cambria Math"/>
              </w:rPr>
              <m:t>S</m:t>
            </m:r>
          </m:e>
          <m:sub>
            <m:r>
              <w:rPr>
                <w:rFonts w:ascii="Cambria Math" w:hAnsi="Cambria Math"/>
              </w:rPr>
              <m:t>max</m:t>
            </m:r>
          </m:sub>
        </m:sSub>
        <m:r>
          <w:rPr>
            <w:rFonts w:ascii="Cambria Math" w:hAnsi="Cambria Math"/>
          </w:rPr>
          <m:t>×</m:t>
        </m:r>
        <m:rad>
          <m:radPr>
            <m:degHide m:val="1"/>
            <m:ctrlPr>
              <w:rPr>
                <w:rFonts w:ascii="Cambria Math" w:eastAsiaTheme="minorEastAsia" w:hAnsi="Cambria Math"/>
                <w:i/>
              </w:rPr>
            </m:ctrlPr>
          </m:radPr>
          <m:deg/>
          <m:e>
            <m:r>
              <w:rPr>
                <w:rFonts w:ascii="Cambria Math" w:eastAsiaTheme="minorEastAsia" w:hAnsi="Cambria Math"/>
              </w:rPr>
              <m:t>2/n</m:t>
            </m:r>
          </m:e>
        </m:rad>
      </m:oMath>
    </w:p>
    <w:p w14:paraId="15865805" w14:textId="6452A2CC" w:rsidR="00290B7E" w:rsidRDefault="00290B7E" w:rsidP="00290B7E">
      <w:pPr>
        <w:pStyle w:val="Paragraphedeliste"/>
        <w:ind w:left="1080"/>
        <w:rPr>
          <w:rFonts w:eastAsiaTheme="minorEastAsia"/>
        </w:rPr>
      </w:pPr>
      <w:r>
        <w:rPr>
          <w:rFonts w:eastAsiaTheme="minorEastAsia"/>
        </w:rPr>
        <w:t xml:space="preserve"> </w:t>
      </w:r>
    </w:p>
    <w:p w14:paraId="115FA0ED" w14:textId="5D3BD497" w:rsidR="00290B7E" w:rsidRPr="00290B7E" w:rsidRDefault="00290B7E" w:rsidP="00290B7E">
      <w:pPr>
        <w:jc w:val="center"/>
        <w:rPr>
          <w:rFonts w:eastAsiaTheme="minorEastAsia"/>
          <w:i/>
          <w:iCs/>
          <w:color w:val="00B050"/>
        </w:rPr>
      </w:pPr>
      <w:r w:rsidRPr="00290B7E">
        <w:rPr>
          <w:rFonts w:eastAsiaTheme="minorEastAsia"/>
          <w:i/>
          <w:iCs/>
          <w:color w:val="00B050"/>
        </w:rPr>
        <w:t xml:space="preserve">Dans l’exemple de la thèse, </w:t>
      </w:r>
      <m:oMath>
        <m:f>
          <m:fPr>
            <m:ctrlPr>
              <w:rPr>
                <w:rFonts w:ascii="Cambria Math" w:hAnsi="Cambria Math"/>
                <w:i/>
                <w:iCs/>
                <w:color w:val="00B050"/>
              </w:rPr>
            </m:ctrlPr>
          </m:fPr>
          <m:num>
            <m:r>
              <w:rPr>
                <w:rFonts w:ascii="Cambria Math" w:hAnsi="Cambria Math"/>
                <w:color w:val="00B050"/>
              </w:rPr>
              <m:t>35.3446</m:t>
            </m:r>
          </m:num>
          <m:den>
            <m:rad>
              <m:radPr>
                <m:degHide m:val="1"/>
                <m:ctrlPr>
                  <w:rPr>
                    <w:rFonts w:ascii="Cambria Math" w:hAnsi="Cambria Math"/>
                    <w:i/>
                    <w:iCs/>
                    <w:color w:val="00B050"/>
                  </w:rPr>
                </m:ctrlPr>
              </m:radPr>
              <m:deg/>
              <m:e>
                <m:r>
                  <w:rPr>
                    <w:rFonts w:ascii="Cambria Math" w:hAnsi="Cambria Math"/>
                    <w:color w:val="00B050"/>
                  </w:rPr>
                  <m:t>2/50</m:t>
                </m:r>
              </m:e>
            </m:rad>
          </m:den>
        </m:f>
        <m:r>
          <w:rPr>
            <w:rFonts w:ascii="Cambria Math" w:eastAsiaTheme="minorEastAsia" w:hAnsi="Cambria Math"/>
            <w:color w:val="00B050"/>
          </w:rPr>
          <m:t>=7.07</m:t>
        </m:r>
      </m:oMath>
      <w:r w:rsidRPr="00290B7E">
        <w:rPr>
          <w:rFonts w:eastAsiaTheme="minorEastAsia"/>
          <w:i/>
          <w:iCs/>
          <w:color w:val="00B050"/>
        </w:rPr>
        <w:t xml:space="preserve"> </w:t>
      </w:r>
    </w:p>
    <w:p w14:paraId="1479556F" w14:textId="54F65455" w:rsidR="00644B60" w:rsidRPr="00644B60" w:rsidRDefault="00644B60" w:rsidP="00644B60">
      <w:pPr>
        <w:pStyle w:val="Paragraphedeliste"/>
        <w:numPr>
          <w:ilvl w:val="0"/>
          <w:numId w:val="15"/>
        </w:numPr>
        <w:rPr>
          <w:rFonts w:eastAsiaTheme="minorEastAsia"/>
        </w:rPr>
      </w:pPr>
      <w:r>
        <w:rPr>
          <w:rFonts w:eastAsiaTheme="minorEastAsia"/>
        </w:rPr>
        <w:t>Déterminer les valeurs de SE suffisamment grande pour conclure au non rejet de H0.</w:t>
      </w:r>
    </w:p>
    <w:p w14:paraId="7E182B85" w14:textId="77777777" w:rsidR="00644B60" w:rsidRDefault="00644B60" w:rsidP="00644B60">
      <w:pPr>
        <w:pStyle w:val="Paragraphedeliste"/>
        <w:rPr>
          <w:rFonts w:eastAsiaTheme="minorEastAsia"/>
        </w:rPr>
      </w:pPr>
    </w:p>
    <w:p w14:paraId="042FDEA8" w14:textId="74758E37" w:rsidR="00644B60" w:rsidRPr="00644B60" w:rsidRDefault="00484658" w:rsidP="00644B60">
      <w:pPr>
        <w:pStyle w:val="Paragraphedeliste"/>
        <w:numPr>
          <w:ilvl w:val="1"/>
          <w:numId w:val="15"/>
        </w:numPr>
      </w:pPr>
      <w:r w:rsidRPr="00644B60">
        <w:rPr>
          <w:rFonts w:eastAsiaTheme="minorEastAsia"/>
        </w:rPr>
        <w:t xml:space="preserve">Pour conclure à l’équivalence, il faut conclure au NRH0. On peut facilement, via R ou des tables, déterminer la t critique ( = la valeur de la statistique t en deçà de laquelle on ne conclura PAS au rejet de l’hypothèse nulle). </w:t>
      </w:r>
    </w:p>
    <w:p w14:paraId="6402976B" w14:textId="77777777" w:rsidR="00644B60" w:rsidRDefault="00644B60" w:rsidP="00644B60">
      <w:pPr>
        <w:pStyle w:val="Paragraphedeliste"/>
        <w:spacing w:before="240"/>
        <w:rPr>
          <w:rFonts w:eastAsiaTheme="minorEastAsia"/>
          <w:i/>
          <w:iCs/>
          <w:color w:val="00B050"/>
        </w:rPr>
      </w:pPr>
    </w:p>
    <w:p w14:paraId="1768F193" w14:textId="56B5C0CA" w:rsidR="00644B60" w:rsidRDefault="00644B60" w:rsidP="00644B60">
      <w:pPr>
        <w:pStyle w:val="Paragraphedeliste"/>
        <w:spacing w:before="240"/>
        <w:rPr>
          <w:rFonts w:eastAsiaTheme="minorEastAsia"/>
          <w:i/>
          <w:iCs/>
          <w:color w:val="00B050"/>
        </w:rPr>
      </w:pPr>
      <w:r w:rsidRPr="00E020B2">
        <w:rPr>
          <w:rFonts w:eastAsiaTheme="minorEastAsia"/>
          <w:i/>
          <w:iCs/>
          <w:color w:val="00B050"/>
        </w:rPr>
        <w:t xml:space="preserve">Dans l’exemple de la thèse, </w:t>
      </w:r>
      <w:r>
        <w:rPr>
          <w:rFonts w:eastAsiaTheme="minorEastAsia"/>
          <w:i/>
          <w:iCs/>
          <w:color w:val="00B050"/>
        </w:rPr>
        <w:t xml:space="preserve">avec n = 50 par groupe et alpha = 5%, </w:t>
      </w:r>
      <w:r w:rsidRPr="00E020B2">
        <w:rPr>
          <w:rFonts w:eastAsiaTheme="minorEastAsia"/>
          <w:i/>
          <w:iCs/>
          <w:color w:val="00B050"/>
        </w:rPr>
        <w:t>ce</w:t>
      </w:r>
      <w:r>
        <w:rPr>
          <w:rFonts w:eastAsiaTheme="minorEastAsia"/>
          <w:i/>
          <w:iCs/>
          <w:color w:val="00B050"/>
        </w:rPr>
        <w:t xml:space="preserve"> t</w:t>
      </w:r>
      <w:r w:rsidRPr="00E020B2">
        <w:rPr>
          <w:rFonts w:eastAsiaTheme="minorEastAsia"/>
          <w:i/>
          <w:iCs/>
          <w:color w:val="00B050"/>
        </w:rPr>
        <w:t xml:space="preserve"> vaut </w:t>
      </w:r>
      <w:r>
        <w:rPr>
          <w:rFonts w:eastAsiaTheme="minorEastAsia"/>
          <w:i/>
          <w:iCs/>
          <w:color w:val="00B050"/>
        </w:rPr>
        <w:t xml:space="preserve">1.9845… (illustra via R et </w:t>
      </w:r>
      <w:proofErr w:type="spellStart"/>
      <w:r>
        <w:rPr>
          <w:rFonts w:eastAsiaTheme="minorEastAsia"/>
          <w:i/>
          <w:iCs/>
          <w:color w:val="00B050"/>
        </w:rPr>
        <w:t>gpower</w:t>
      </w:r>
      <w:proofErr w:type="spellEnd"/>
      <w:r>
        <w:rPr>
          <w:rFonts w:eastAsiaTheme="minorEastAsia"/>
          <w:i/>
          <w:iCs/>
          <w:color w:val="00B050"/>
        </w:rPr>
        <w:t xml:space="preserve">). Ça veut dire que chaque fois qu’on trouvera une t inférieure à cette valeur, on conclure au NRH0 </w:t>
      </w:r>
    </w:p>
    <w:p w14:paraId="39F81AB1" w14:textId="223451D2" w:rsidR="00644B60" w:rsidRDefault="00644B60" w:rsidP="00644B60">
      <w:pPr>
        <w:jc w:val="center"/>
      </w:pPr>
      <w:r>
        <w:rPr>
          <w:noProof/>
        </w:rPr>
        <w:drawing>
          <wp:inline distT="0" distB="0" distL="0" distR="0" wp14:anchorId="3634552F" wp14:editId="370DA9B5">
            <wp:extent cx="4521200" cy="1776377"/>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24341" cy="1777611"/>
                    </a:xfrm>
                    <a:prstGeom prst="rect">
                      <a:avLst/>
                    </a:prstGeom>
                    <a:noFill/>
                    <a:ln>
                      <a:noFill/>
                    </a:ln>
                  </pic:spPr>
                </pic:pic>
              </a:graphicData>
            </a:graphic>
          </wp:inline>
        </w:drawing>
      </w:r>
    </w:p>
    <w:p w14:paraId="4C33A4FA" w14:textId="29BE76D6" w:rsidR="00644B60" w:rsidRPr="00644B60" w:rsidRDefault="00644B60" w:rsidP="00644B60">
      <w:pPr>
        <w:jc w:val="center"/>
      </w:pPr>
      <w:r>
        <w:rPr>
          <w:noProof/>
        </w:rPr>
        <w:drawing>
          <wp:inline distT="0" distB="0" distL="0" distR="0" wp14:anchorId="0AE1B79A" wp14:editId="0ED8130A">
            <wp:extent cx="1416050" cy="591894"/>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34139" cy="599455"/>
                    </a:xfrm>
                    <a:prstGeom prst="rect">
                      <a:avLst/>
                    </a:prstGeom>
                  </pic:spPr>
                </pic:pic>
              </a:graphicData>
            </a:graphic>
          </wp:inline>
        </w:drawing>
      </w:r>
      <w:r>
        <w:rPr>
          <w:noProof/>
        </w:rPr>
        <w:drawing>
          <wp:inline distT="0" distB="0" distL="0" distR="0" wp14:anchorId="563D5C3C" wp14:editId="28292CC1">
            <wp:extent cx="4527550" cy="394674"/>
            <wp:effectExtent l="0" t="0" r="0" b="571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88471" cy="399985"/>
                    </a:xfrm>
                    <a:prstGeom prst="rect">
                      <a:avLst/>
                    </a:prstGeom>
                  </pic:spPr>
                </pic:pic>
              </a:graphicData>
            </a:graphic>
          </wp:inline>
        </w:drawing>
      </w:r>
    </w:p>
    <w:p w14:paraId="585C0962" w14:textId="77777777" w:rsidR="00644B60" w:rsidRPr="00644B60" w:rsidRDefault="00644B60" w:rsidP="00644B60">
      <w:pPr>
        <w:pStyle w:val="Paragraphedeliste"/>
      </w:pPr>
    </w:p>
    <w:p w14:paraId="50F3DE66" w14:textId="548E3AD1" w:rsidR="003C1AC7" w:rsidRDefault="00644B60" w:rsidP="00644B60">
      <w:pPr>
        <w:pStyle w:val="Paragraphedeliste"/>
        <w:numPr>
          <w:ilvl w:val="1"/>
          <w:numId w:val="15"/>
        </w:numPr>
      </w:pPr>
      <w:r>
        <w:rPr>
          <w:rFonts w:eastAsiaTheme="minorEastAsia"/>
        </w:rPr>
        <w:t>P</w:t>
      </w:r>
      <w:r w:rsidR="003C1AC7">
        <w:t>our rappel</w:t>
      </w:r>
      <w:r>
        <w:t xml:space="preserve">, </w:t>
      </w:r>
      <w:r w:rsidR="003C1AC7">
        <w:t>une statistique t est une différence de moyenne divisée par une SE</w:t>
      </w:r>
      <w:r>
        <w:t xml:space="preserve"> : </w:t>
      </w:r>
    </w:p>
    <w:p w14:paraId="36A7D7CE" w14:textId="6F734914" w:rsidR="003C1AC7" w:rsidRDefault="00484658" w:rsidP="00644B60">
      <w:pPr>
        <w:pStyle w:val="Paragraphedeliste"/>
        <w:jc w:val="center"/>
        <w:rPr>
          <w:rFonts w:ascii="Cambria Math" w:eastAsiaTheme="minorEastAsia" w:hAnsi="Cambria Math"/>
          <w:i/>
        </w:rPr>
      </w:pPr>
      <m:oMath>
        <m:r>
          <w:rPr>
            <w:rFonts w:ascii="Cambria Math" w:eastAsiaTheme="minorEastAsia" w:hAnsi="Cambria Math"/>
          </w:rPr>
          <m:t>t=</m:t>
        </m:r>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w:rPr>
                <w:rFonts w:ascii="Cambria Math" w:hAnsi="Cambria Math"/>
              </w:rPr>
              <m:t>|</m:t>
            </m:r>
          </m:num>
          <m:den>
            <m:r>
              <w:rPr>
                <w:rFonts w:ascii="Cambria Math" w:hAnsi="Cambria Math"/>
              </w:rPr>
              <m:t>SE</m:t>
            </m:r>
          </m:den>
        </m:f>
      </m:oMath>
      <w:r w:rsidR="003C1AC7">
        <w:t xml:space="preserve"> </w:t>
      </w:r>
      <w:r w:rsidR="003C1AC7">
        <w:sym w:font="Wingdings" w:char="F0DF"/>
      </w:r>
      <w:r w:rsidR="003C1AC7">
        <w:sym w:font="Wingdings" w:char="F0E0"/>
      </w:r>
      <w:r w:rsidR="003C1AC7" w:rsidRPr="000C4521">
        <w:rPr>
          <w:rFonts w:ascii="Cambria Math" w:eastAsiaTheme="minorEastAsia" w:hAnsi="Cambria Math"/>
          <w:i/>
        </w:rP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crit</m:t>
            </m:r>
          </m:sub>
        </m:sSub>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w:rPr>
                <w:rFonts w:ascii="Cambria Math" w:hAnsi="Cambria Math"/>
              </w:rPr>
              <m:t>|</m:t>
            </m:r>
          </m:num>
          <m:den>
            <m:sSub>
              <m:sSubPr>
                <m:ctrlPr>
                  <w:rPr>
                    <w:rFonts w:ascii="Cambria Math" w:hAnsi="Cambria Math"/>
                    <w:i/>
                  </w:rPr>
                </m:ctrlPr>
              </m:sSubPr>
              <m:e>
                <m:r>
                  <w:rPr>
                    <w:rFonts w:ascii="Cambria Math" w:hAnsi="Cambria Math"/>
                  </w:rPr>
                  <m:t>SE</m:t>
                </m:r>
              </m:e>
              <m:sub>
                <m:r>
                  <w:rPr>
                    <w:rFonts w:ascii="Cambria Math" w:hAnsi="Cambria Math"/>
                  </w:rPr>
                  <m:t>crit</m:t>
                </m:r>
              </m:sub>
            </m:sSub>
          </m:den>
        </m:f>
      </m:oMath>
    </w:p>
    <w:p w14:paraId="34C76659" w14:textId="60AE3554" w:rsidR="00644B60" w:rsidRDefault="00644B60" w:rsidP="00644B60">
      <w:pPr>
        <w:pStyle w:val="Paragraphedeliste"/>
        <w:jc w:val="center"/>
        <w:rPr>
          <w:rFonts w:ascii="Cambria Math" w:eastAsiaTheme="minorEastAsia" w:hAnsi="Cambria Math"/>
          <w:i/>
        </w:rPr>
      </w:pPr>
    </w:p>
    <w:p w14:paraId="1640BEEB" w14:textId="655B32B1" w:rsidR="00644B60" w:rsidRPr="00644B60" w:rsidRDefault="00644B60" w:rsidP="00644B60">
      <w:pPr>
        <w:pStyle w:val="Paragraphedeliste"/>
        <w:jc w:val="center"/>
        <w:rPr>
          <w:rFonts w:ascii="Cambria Math" w:eastAsiaTheme="minorEastAsia" w:hAnsi="Cambria Math"/>
          <w:iCs/>
        </w:rPr>
      </w:pPr>
      <w:r>
        <w:rPr>
          <w:rFonts w:ascii="Cambria Math" w:eastAsiaTheme="minorEastAsia" w:hAnsi="Cambria Math"/>
          <w:iCs/>
        </w:rPr>
        <w:t xml:space="preserve">Donc une fois qu’on a </w:t>
      </w:r>
      <w:proofErr w:type="spellStart"/>
      <w:r>
        <w:rPr>
          <w:rFonts w:ascii="Cambria Math" w:eastAsiaTheme="minorEastAsia" w:hAnsi="Cambria Math"/>
          <w:iCs/>
        </w:rPr>
        <w:t>t</w:t>
      </w:r>
      <w:r w:rsidRPr="00644B60">
        <w:rPr>
          <w:rFonts w:ascii="Cambria Math" w:eastAsiaTheme="minorEastAsia" w:hAnsi="Cambria Math"/>
          <w:iCs/>
          <w:vertAlign w:val="subscript"/>
        </w:rPr>
        <w:t>crit</w:t>
      </w:r>
      <w:proofErr w:type="spellEnd"/>
      <w:r>
        <w:rPr>
          <w:rFonts w:ascii="Cambria Math" w:eastAsiaTheme="minorEastAsia" w:hAnsi="Cambria Math"/>
          <w:iCs/>
        </w:rPr>
        <w:t xml:space="preserve">, on peut déterminer </w:t>
      </w:r>
      <w:proofErr w:type="spellStart"/>
      <w:r>
        <w:rPr>
          <w:rFonts w:ascii="Cambria Math" w:eastAsiaTheme="minorEastAsia" w:hAnsi="Cambria Math"/>
          <w:iCs/>
        </w:rPr>
        <w:t>SE</w:t>
      </w:r>
      <w:r w:rsidRPr="00644B60">
        <w:rPr>
          <w:rFonts w:ascii="Cambria Math" w:eastAsiaTheme="minorEastAsia" w:hAnsi="Cambria Math"/>
          <w:iCs/>
          <w:vertAlign w:val="subscript"/>
        </w:rPr>
        <w:t>crit</w:t>
      </w:r>
      <w:proofErr w:type="spellEnd"/>
      <w:r>
        <w:rPr>
          <w:rFonts w:ascii="Cambria Math" w:eastAsiaTheme="minorEastAsia" w:hAnsi="Cambria Math"/>
          <w:iCs/>
        </w:rPr>
        <w:t xml:space="preserve"> pour n’importe quelle différence de moyenne. </w:t>
      </w:r>
    </w:p>
    <w:p w14:paraId="270F5DA8" w14:textId="76B4A76F" w:rsidR="003C1AC7" w:rsidRDefault="003C1AC7" w:rsidP="003C1AC7"/>
    <w:p w14:paraId="0B884630" w14:textId="2B922040" w:rsidR="00644B60" w:rsidRPr="00A57B8A" w:rsidRDefault="00644B60" w:rsidP="003C1AC7">
      <w:pPr>
        <w:rPr>
          <w:rFonts w:eastAsiaTheme="minorEastAsia"/>
          <w:b/>
          <w:bCs/>
        </w:rPr>
      </w:pPr>
      <w:r w:rsidRPr="00A57B8A">
        <w:rPr>
          <w:b/>
          <w:bCs/>
        </w:rPr>
        <w:t xml:space="preserve">En conclusion, pour une différence de moyennes donnée, chaque fois que  </w:t>
      </w:r>
      <m:oMath>
        <m:sSub>
          <m:sSubPr>
            <m:ctrlPr>
              <w:rPr>
                <w:rFonts w:ascii="Cambria Math" w:hAnsi="Cambria Math"/>
                <w:b/>
                <w:bCs/>
                <w:i/>
              </w:rPr>
            </m:ctrlPr>
          </m:sSubPr>
          <m:e>
            <m:r>
              <m:rPr>
                <m:sty m:val="bi"/>
              </m:rPr>
              <w:rPr>
                <w:rFonts w:ascii="Cambria Math" w:hAnsi="Cambria Math"/>
              </w:rPr>
              <m:t>SE</m:t>
            </m:r>
          </m:e>
          <m:sub>
            <m:r>
              <m:rPr>
                <m:sty m:val="bi"/>
              </m:rPr>
              <w:rPr>
                <w:rFonts w:ascii="Cambria Math" w:hAnsi="Cambria Math"/>
              </w:rPr>
              <m:t>crit</m:t>
            </m:r>
          </m:sub>
        </m:sSub>
        <m:r>
          <m:rPr>
            <m:sty m:val="bi"/>
          </m:rPr>
          <w:rPr>
            <w:rFonts w:ascii="Cambria Math" w:hAnsi="Cambria Math"/>
          </w:rPr>
          <m:t>&lt;SE=S×</m:t>
        </m:r>
        <m:rad>
          <m:radPr>
            <m:degHide m:val="1"/>
            <m:ctrlPr>
              <w:rPr>
                <w:rFonts w:ascii="Cambria Math" w:eastAsiaTheme="minorEastAsia" w:hAnsi="Cambria Math"/>
                <w:b/>
                <w:bCs/>
                <w:i/>
              </w:rPr>
            </m:ctrlPr>
          </m:radPr>
          <m:deg/>
          <m:e>
            <m:r>
              <m:rPr>
                <m:sty m:val="bi"/>
              </m:rPr>
              <w:rPr>
                <w:rFonts w:ascii="Cambria Math" w:eastAsiaTheme="minorEastAsia" w:hAnsi="Cambria Math"/>
              </w:rPr>
              <m:t>2/n</m:t>
            </m:r>
          </m:e>
        </m:rad>
        <m:r>
          <m:rPr>
            <m:sty m:val="bi"/>
          </m:rPr>
          <w:rPr>
            <w:rFonts w:ascii="Cambria Math" w:eastAsiaTheme="minorEastAsia" w:hAnsi="Cambria Math"/>
          </w:rPr>
          <m:t>&lt;7.07</m:t>
        </m:r>
      </m:oMath>
      <w:r w:rsidRPr="00A57B8A">
        <w:rPr>
          <w:rFonts w:eastAsiaTheme="minorEastAsia"/>
          <w:b/>
          <w:bCs/>
        </w:rPr>
        <w:t>, on conclura à l’équivalence avec l’approche de la puissance.</w:t>
      </w:r>
    </w:p>
    <w:p w14:paraId="5191C72C" w14:textId="1CE0FDE6" w:rsidR="00644B60" w:rsidRDefault="002D596B" w:rsidP="003C1AC7">
      <w:r>
        <w:t xml:space="preserve">Si on analyse </w:t>
      </w:r>
      <m:oMath>
        <m:r>
          <w:rPr>
            <w:rFonts w:ascii="Cambria Math" w:eastAsiaTheme="minorEastAsia" w:hAnsi="Cambria Math"/>
          </w:rPr>
          <m:t>t=</m:t>
        </m:r>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w:rPr>
                <w:rFonts w:ascii="Cambria Math" w:hAnsi="Cambria Math"/>
              </w:rPr>
              <m:t>|</m:t>
            </m:r>
          </m:num>
          <m:den>
            <m:r>
              <w:rPr>
                <w:rFonts w:ascii="Cambria Math" w:hAnsi="Cambria Math"/>
              </w:rPr>
              <m:t>SE</m:t>
            </m:r>
          </m:den>
        </m:f>
      </m:oMath>
      <w:r>
        <w:rPr>
          <w:rFonts w:eastAsiaTheme="minorEastAsia"/>
        </w:rPr>
        <w:t>, o</w:t>
      </w:r>
      <w:r>
        <w:t xml:space="preserve">n comprend que </w:t>
      </w:r>
      <w:r w:rsidR="0011515F">
        <w:t xml:space="preserve">pour une différence de moyennes donnée, </w:t>
      </w:r>
      <w:r>
        <w:t>plus SE est petit</w:t>
      </w:r>
      <w:r w:rsidR="0011515F">
        <w:t>e</w:t>
      </w:r>
      <w:r>
        <w:t xml:space="preserve"> (= estimation précise), plus l</w:t>
      </w:r>
      <w:r w:rsidR="0011515F">
        <w:t>a</w:t>
      </w:r>
      <w:r>
        <w:t xml:space="preserve"> statistique t</w:t>
      </w:r>
      <w:r w:rsidR="0011515F">
        <w:t xml:space="preserve"> sera grande. Donc avec un petit SE, il faudra une plus petite différence de moyennes absolue pour assurer que le </w:t>
      </w:r>
      <w:r w:rsidRPr="002D596B">
        <w:rPr>
          <w:i/>
          <w:iCs/>
        </w:rPr>
        <w:t>t</w:t>
      </w:r>
      <w:r>
        <w:t xml:space="preserve"> ne dépasse pas </w:t>
      </w:r>
      <w:r w:rsidR="0011515F">
        <w:t>le seuil critique (et donc plus les résultats sont précis, plus difficilement on conclura à l’équivalence)</w:t>
      </w:r>
      <w:r>
        <w:t xml:space="preserve">.  </w:t>
      </w:r>
    </w:p>
    <w:p w14:paraId="7E7911DB" w14:textId="37C3E24D" w:rsidR="00F0572F" w:rsidRPr="00384A22" w:rsidRDefault="00F0572F" w:rsidP="003C1AC7">
      <w:r>
        <w:t>A revoir aussi pour le TOST</w:t>
      </w:r>
    </w:p>
    <w:sectPr w:rsidR="00F0572F" w:rsidRPr="00384A22" w:rsidSect="00CC308C">
      <w:footerReference w:type="default" r:id="rId22"/>
      <w:pgSz w:w="11906" w:h="16838"/>
      <w:pgMar w:top="1417" w:right="926" w:bottom="1417" w:left="108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ELACRE  Marie" w:date="2021-10-22T08:15:00Z" w:initials="DM">
    <w:p w14:paraId="1E16A143" w14:textId="303102A9" w:rsidR="00230AB7" w:rsidRDefault="00230AB7">
      <w:pPr>
        <w:pStyle w:val="Commentaire"/>
      </w:pPr>
      <w:r>
        <w:rPr>
          <w:rStyle w:val="Marquedecommentaire"/>
        </w:rPr>
        <w:annotationRef/>
      </w:r>
      <w:r>
        <w:t xml:space="preserve">Remarque diverse : </w:t>
      </w:r>
      <w:proofErr w:type="spellStart"/>
      <w:r>
        <w:t>Erceg-Hurn</w:t>
      </w:r>
      <w:proofErr w:type="spellEnd"/>
      <w:r>
        <w:t xml:space="preserve"> mentionne que le test de </w:t>
      </w:r>
      <w:proofErr w:type="spellStart"/>
      <w:r>
        <w:t>Levene</w:t>
      </w:r>
      <w:proofErr w:type="spellEnd"/>
      <w:r>
        <w:t xml:space="preserve"> a lui mm ses propres hypothèses, généralement que les données soient normales (en cas de violation de cette condition, le résultat du test est faussé)</w:t>
      </w:r>
    </w:p>
  </w:comment>
  <w:comment w:id="1" w:author="DELACRE  Marie" w:date="2021-10-19T09:59:00Z" w:initials="DM">
    <w:p w14:paraId="4B75576A" w14:textId="0C13F003" w:rsidR="00DC3B26" w:rsidRDefault="00DC3B26">
      <w:pPr>
        <w:pStyle w:val="Commentaire"/>
      </w:pPr>
      <w:r>
        <w:rPr>
          <w:rStyle w:val="Marquedecommentaire"/>
        </w:rPr>
        <w:annotationRef/>
      </w:r>
      <w:r>
        <w:t xml:space="preserve">Il me semble qu’ils sont calculés sur base de la méthode du maximum </w:t>
      </w:r>
      <w:proofErr w:type="spellStart"/>
      <w:r>
        <w:t>likelihood</w:t>
      </w:r>
      <w:proofErr w:type="spellEnd"/>
    </w:p>
  </w:comment>
  <w:comment w:id="2" w:author="DELACRE  Marie" w:date="2021-10-26T12:50:00Z" w:initials="DM">
    <w:p w14:paraId="03DE983D" w14:textId="00E127F0" w:rsidR="00614C98" w:rsidRDefault="00614C98">
      <w:pPr>
        <w:pStyle w:val="Commentaire"/>
      </w:pPr>
      <w:r>
        <w:rPr>
          <w:rStyle w:val="Marquedecommentaire"/>
        </w:rPr>
        <w:annotationRef/>
      </w:r>
      <w:r>
        <w:t>Reste à faire !</w:t>
      </w:r>
    </w:p>
  </w:comment>
  <w:comment w:id="3" w:author="DELACRE  Marie" w:date="2021-10-22T08:21:00Z" w:initials="DM">
    <w:p w14:paraId="51262BD3" w14:textId="77777777" w:rsidR="00CA764F" w:rsidRDefault="00CA764F" w:rsidP="00CA764F">
      <w:pPr>
        <w:pStyle w:val="Commentaire"/>
      </w:pPr>
      <w:r>
        <w:rPr>
          <w:rStyle w:val="Marquedecommentaire"/>
        </w:rPr>
        <w:annotationRef/>
      </w:r>
      <w:r>
        <w:t xml:space="preserve">Voir si je trouve dans quel cas ça marche ? pour quel type de distribution ? Je dirais en cas de forte asymétrie mais je suis pas sûre. </w:t>
      </w:r>
    </w:p>
  </w:comment>
  <w:comment w:id="4" w:author="DELACRE  Marie" w:date="2021-10-26T12:52:00Z" w:initials="DM">
    <w:p w14:paraId="406C2188" w14:textId="77777777" w:rsidR="00CA764F" w:rsidRDefault="00CA764F" w:rsidP="00CA764F">
      <w:pPr>
        <w:pStyle w:val="Commentaire"/>
      </w:pPr>
      <w:r>
        <w:rPr>
          <w:rStyle w:val="Marquedecommentaire"/>
        </w:rPr>
        <w:annotationRef/>
      </w:r>
      <w:r>
        <w:t xml:space="preserve">C’est ceci que je dois encore revoir. </w:t>
      </w:r>
    </w:p>
    <w:p w14:paraId="0F4F3D1E" w14:textId="77777777" w:rsidR="00CA764F" w:rsidRDefault="00CA764F" w:rsidP="00CA764F">
      <w:pPr>
        <w:pStyle w:val="Commentaire"/>
      </w:pPr>
    </w:p>
    <w:p w14:paraId="6DE87226" w14:textId="77777777" w:rsidR="00CA764F" w:rsidRDefault="00CA764F" w:rsidP="00CA764F">
      <w:pPr>
        <w:rPr>
          <w:b/>
          <w:bCs/>
          <w:color w:val="FF0000"/>
          <w:sz w:val="20"/>
          <w:szCs w:val="20"/>
        </w:rPr>
      </w:pPr>
      <w:r w:rsidRPr="00B64814">
        <w:rPr>
          <w:b/>
          <w:bCs/>
          <w:color w:val="FF0000"/>
          <w:sz w:val="20"/>
          <w:szCs w:val="20"/>
        </w:rPr>
        <w:t>Reste à comprendre pourquoi il est moins bon que le test classique quand les conditions sont OK</w:t>
      </w:r>
      <w:r>
        <w:rPr>
          <w:b/>
          <w:bCs/>
          <w:color w:val="FF0000"/>
          <w:sz w:val="20"/>
          <w:szCs w:val="20"/>
        </w:rPr>
        <w:t> :</w:t>
      </w:r>
    </w:p>
    <w:p w14:paraId="09701C3C" w14:textId="77777777" w:rsidR="00CA764F" w:rsidRDefault="00CA764F" w:rsidP="00CA764F">
      <w:pPr>
        <w:pStyle w:val="Paragraphedeliste"/>
        <w:numPr>
          <w:ilvl w:val="0"/>
          <w:numId w:val="2"/>
        </w:numPr>
        <w:rPr>
          <w:b/>
          <w:bCs/>
          <w:color w:val="FF0000"/>
          <w:sz w:val="20"/>
          <w:szCs w:val="20"/>
        </w:rPr>
      </w:pPr>
      <w:r>
        <w:rPr>
          <w:b/>
          <w:bCs/>
          <w:color w:val="FF0000"/>
          <w:sz w:val="20"/>
          <w:szCs w:val="20"/>
        </w:rPr>
        <w:t xml:space="preserve">Distribution d’échantillonnage de la moyenne vs. De la moyenne </w:t>
      </w:r>
      <w:proofErr w:type="spellStart"/>
      <w:r>
        <w:rPr>
          <w:b/>
          <w:bCs/>
          <w:color w:val="FF0000"/>
          <w:sz w:val="20"/>
          <w:szCs w:val="20"/>
        </w:rPr>
        <w:t>trimmée</w:t>
      </w:r>
      <w:proofErr w:type="spellEnd"/>
      <w:r>
        <w:rPr>
          <w:b/>
          <w:bCs/>
          <w:color w:val="FF0000"/>
          <w:sz w:val="20"/>
          <w:szCs w:val="20"/>
        </w:rPr>
        <w:t xml:space="preserve"> ? </w:t>
      </w:r>
    </w:p>
    <w:p w14:paraId="2CF7EA29" w14:textId="77777777" w:rsidR="00CA764F" w:rsidRPr="00B663B3" w:rsidRDefault="00CA764F" w:rsidP="00CA764F">
      <w:pPr>
        <w:pStyle w:val="Paragraphedeliste"/>
        <w:numPr>
          <w:ilvl w:val="0"/>
          <w:numId w:val="2"/>
        </w:numPr>
        <w:rPr>
          <w:b/>
          <w:bCs/>
          <w:color w:val="FF0000"/>
          <w:sz w:val="20"/>
          <w:szCs w:val="20"/>
        </w:rPr>
      </w:pPr>
      <w:r>
        <w:rPr>
          <w:b/>
          <w:bCs/>
          <w:color w:val="FF0000"/>
          <w:sz w:val="20"/>
          <w:szCs w:val="20"/>
        </w:rPr>
        <w:t>Comprendre pourquoi le test devient parfois trop libéral (cf. Supp Mat de mon article 1).</w:t>
      </w:r>
    </w:p>
    <w:p w14:paraId="3DDF01DC" w14:textId="77777777" w:rsidR="00CA764F" w:rsidRDefault="00CA764F" w:rsidP="00CA764F">
      <w:pPr>
        <w:pStyle w:val="Commentaire"/>
      </w:pPr>
    </w:p>
  </w:comment>
  <w:comment w:id="5" w:author="DELACRE  Marie" w:date="2021-10-19T16:19:00Z" w:initials="DM">
    <w:p w14:paraId="278B1466" w14:textId="6ABFAF5C" w:rsidR="009821AD" w:rsidRDefault="009821AD">
      <w:pPr>
        <w:pStyle w:val="Commentaire"/>
      </w:pPr>
      <w:r>
        <w:rPr>
          <w:rStyle w:val="Marquedecommentaire"/>
        </w:rPr>
        <w:annotationRef/>
      </w:r>
      <w:r>
        <w:t>Revoir aussi pour le TOST mais ct plus facile dans mon souvenir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E16A143" w15:done="0"/>
  <w15:commentEx w15:paraId="4B75576A" w15:done="0"/>
  <w15:commentEx w15:paraId="03DE983D" w15:done="0"/>
  <w15:commentEx w15:paraId="51262BD3" w15:done="0"/>
  <w15:commentEx w15:paraId="3DDF01DC" w15:done="0"/>
  <w15:commentEx w15:paraId="278B146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CF185" w16cex:dateUtc="2021-10-22T06:15:00Z"/>
  <w16cex:commentExtensible w16cex:durableId="2519156F" w16cex:dateUtc="2021-10-19T07:59:00Z"/>
  <w16cex:commentExtensible w16cex:durableId="2522781E" w16cex:dateUtc="2021-10-26T10:50:00Z"/>
  <w16cex:commentExtensible w16cex:durableId="251CF319" w16cex:dateUtc="2021-10-22T06:21:00Z"/>
  <w16cex:commentExtensible w16cex:durableId="2522787A" w16cex:dateUtc="2021-10-26T10:52:00Z"/>
  <w16cex:commentExtensible w16cex:durableId="25196E80" w16cex:dateUtc="2021-10-19T14: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16A143" w16cid:durableId="251CF185"/>
  <w16cid:commentId w16cid:paraId="4B75576A" w16cid:durableId="2519156F"/>
  <w16cid:commentId w16cid:paraId="03DE983D" w16cid:durableId="2522781E"/>
  <w16cid:commentId w16cid:paraId="51262BD3" w16cid:durableId="251CF319"/>
  <w16cid:commentId w16cid:paraId="3DDF01DC" w16cid:durableId="2522787A"/>
  <w16cid:commentId w16cid:paraId="278B1466" w16cid:durableId="25196E8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53A57B" w14:textId="77777777" w:rsidR="00E71CBF" w:rsidRDefault="00E71CBF" w:rsidP="009B43F6">
      <w:pPr>
        <w:spacing w:after="0" w:line="240" w:lineRule="auto"/>
      </w:pPr>
      <w:r>
        <w:separator/>
      </w:r>
    </w:p>
  </w:endnote>
  <w:endnote w:type="continuationSeparator" w:id="0">
    <w:p w14:paraId="0ECEC7D8" w14:textId="77777777" w:rsidR="00E71CBF" w:rsidRDefault="00E71CBF" w:rsidP="009B43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2896400"/>
      <w:docPartObj>
        <w:docPartGallery w:val="Page Numbers (Bottom of Page)"/>
        <w:docPartUnique/>
      </w:docPartObj>
    </w:sdtPr>
    <w:sdtEndPr/>
    <w:sdtContent>
      <w:p w14:paraId="7B3BCF55" w14:textId="1EECF6A3" w:rsidR="00A97626" w:rsidRDefault="00A97626">
        <w:pPr>
          <w:pStyle w:val="Pieddepage"/>
          <w:jc w:val="right"/>
        </w:pPr>
        <w:r>
          <w:fldChar w:fldCharType="begin"/>
        </w:r>
        <w:r>
          <w:instrText>PAGE   \* MERGEFORMAT</w:instrText>
        </w:r>
        <w:r>
          <w:fldChar w:fldCharType="separate"/>
        </w:r>
        <w:r>
          <w:rPr>
            <w:lang w:val="fr-FR"/>
          </w:rPr>
          <w:t>2</w:t>
        </w:r>
        <w:r>
          <w:fldChar w:fldCharType="end"/>
        </w:r>
      </w:p>
    </w:sdtContent>
  </w:sdt>
  <w:p w14:paraId="090C1BAB" w14:textId="77777777" w:rsidR="00A97626" w:rsidRDefault="00A9762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78CF1C" w14:textId="77777777" w:rsidR="00E71CBF" w:rsidRDefault="00E71CBF" w:rsidP="009B43F6">
      <w:pPr>
        <w:spacing w:after="0" w:line="240" w:lineRule="auto"/>
      </w:pPr>
      <w:r>
        <w:separator/>
      </w:r>
    </w:p>
  </w:footnote>
  <w:footnote w:type="continuationSeparator" w:id="0">
    <w:p w14:paraId="270014F9" w14:textId="77777777" w:rsidR="00E71CBF" w:rsidRDefault="00E71CBF" w:rsidP="009B43F6">
      <w:pPr>
        <w:spacing w:after="0" w:line="240" w:lineRule="auto"/>
      </w:pPr>
      <w:r>
        <w:continuationSeparator/>
      </w:r>
    </w:p>
  </w:footnote>
  <w:footnote w:id="1">
    <w:p w14:paraId="7ECBBB0B" w14:textId="77777777" w:rsidR="00354B72" w:rsidRPr="0091164B" w:rsidRDefault="00354B72" w:rsidP="00354B72">
      <w:pPr>
        <w:pStyle w:val="Notedebasdepage"/>
        <w:rPr>
          <w:lang w:val="en-US"/>
        </w:rPr>
      </w:pPr>
      <w:r>
        <w:rPr>
          <w:rStyle w:val="Appelnotedebasdep"/>
        </w:rPr>
        <w:footnoteRef/>
      </w:r>
      <w:r w:rsidRPr="00805782">
        <w:rPr>
          <w:lang w:val="en-US"/>
        </w:rPr>
        <w:t xml:space="preserve"> </w:t>
      </w:r>
      <w:r w:rsidRPr="0091164B">
        <w:rPr>
          <w:lang w:val="en-US"/>
        </w:rPr>
        <w:t>Allison, D. B., Heshka, S., Sepulveda, D., &amp; Heymsfield, S. B. (1993). Counting calories–Caveat emptor. The Journal of the American Medical Association, 270, 1454–1456. http://dx.doi.org/10.1001/jama.1993 .03510120076034</w:t>
      </w:r>
    </w:p>
  </w:footnote>
  <w:footnote w:id="2">
    <w:p w14:paraId="68D39D5D" w14:textId="77777777" w:rsidR="00354B72" w:rsidRDefault="00354B72" w:rsidP="00354B72">
      <w:pPr>
        <w:jc w:val="both"/>
      </w:pPr>
      <w:r>
        <w:rPr>
          <w:rStyle w:val="Appelnotedebasdep"/>
        </w:rPr>
        <w:footnoteRef/>
      </w:r>
      <w:r>
        <w:t xml:space="preserve"> Etonnamment, même s’ils disent avoir privilégié des tests non paramétriques (= randomization tests) compte tenu des violations d’homogénéité des variances, d’indépendance des observations et de normalité de leur données, ils reportent quand même la moyenne et l’écart-type comme descriptives pour chaque groupe.  Ils ne fournissent pas de mesure de taille d’effet dans leur article, mais si on voulait en calculer sur base des résultats fournis dans l’article, on ne pourrait partir que sur des mesures de comparaison de moyenne. </w:t>
      </w:r>
    </w:p>
    <w:p w14:paraId="1948E91B" w14:textId="77777777" w:rsidR="00354B72" w:rsidRDefault="00354B72" w:rsidP="00354B72">
      <w:pPr>
        <w:pStyle w:val="Notedebasdepage"/>
      </w:pPr>
    </w:p>
  </w:footnote>
  <w:footnote w:id="3">
    <w:p w14:paraId="1408BEC4" w14:textId="25FF80BC" w:rsidR="00224257" w:rsidRDefault="00224257">
      <w:pPr>
        <w:pStyle w:val="Notedebasdepage"/>
      </w:pPr>
      <w:r>
        <w:rPr>
          <w:rStyle w:val="Appelnotedebasdep"/>
        </w:rPr>
        <w:footnoteRef/>
      </w:r>
      <w:r>
        <w:t xml:space="preserve"> Dans la littérature sur les méta-analyses, la variance de cette mesure est souvent appelée </w:t>
      </w:r>
      <m:oMath>
        <m:sSup>
          <m:sSupPr>
            <m:ctrlPr>
              <w:rPr>
                <w:rFonts w:ascii="Cambria Math" w:hAnsi="Cambria Math"/>
                <w:i/>
              </w:rPr>
            </m:ctrlPr>
          </m:sSupPr>
          <m:e>
            <m:acc>
              <m:accPr>
                <m:ctrlPr>
                  <w:rPr>
                    <w:rFonts w:ascii="Cambria Math" w:hAnsi="Cambria Math"/>
                    <w:i/>
                  </w:rPr>
                </m:ctrlPr>
              </m:accPr>
              <m:e>
                <m:r>
                  <w:rPr>
                    <w:rFonts w:ascii="Cambria Math" w:hAnsi="Cambria Math"/>
                  </w:rPr>
                  <m:t>τ</m:t>
                </m:r>
              </m:e>
            </m:acc>
          </m:e>
          <m:sup>
            <m:r>
              <w:rPr>
                <w:rFonts w:ascii="Cambria Math" w:hAnsi="Cambria Math"/>
              </w:rPr>
              <m:t>2</m:t>
            </m:r>
          </m:sup>
        </m:sSup>
      </m:oMath>
      <w:r>
        <w:rPr>
          <w:rFonts w:eastAsiaTheme="minorEastAsia"/>
        </w:rPr>
        <w:t>.</w:t>
      </w:r>
    </w:p>
  </w:footnote>
  <w:footnote w:id="4">
    <w:p w14:paraId="3BF9BFFB" w14:textId="77777777" w:rsidR="00712C5D" w:rsidRPr="00016A4F" w:rsidRDefault="00712C5D" w:rsidP="00712C5D">
      <w:r>
        <w:rPr>
          <w:rStyle w:val="Appelnotedebasdep"/>
        </w:rPr>
        <w:footnoteRef/>
      </w:r>
      <w:r>
        <w:t xml:space="preserve"> Attention : forte corrélation entre la taille d’effet moyenne et l’écart-type de la taille d’effet, si bien qu’on trouve généralement que les effets sont très peu hétérogènes quand les tailles d’effets sont proches de 0. </w:t>
      </w:r>
    </w:p>
    <w:p w14:paraId="32944981" w14:textId="7746C544" w:rsidR="00712C5D" w:rsidRDefault="00712C5D">
      <w:pPr>
        <w:pStyle w:val="Notedebasdepage"/>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86135"/>
    <w:multiLevelType w:val="multilevel"/>
    <w:tmpl w:val="A75855F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eastAsiaTheme="minorHAnsi" w:hint="default"/>
      </w:rPr>
    </w:lvl>
    <w:lvl w:ilvl="2">
      <w:start w:val="1"/>
      <w:numFmt w:val="decimal"/>
      <w:isLgl/>
      <w:lvlText w:val="%1.%2.%3."/>
      <w:lvlJc w:val="left"/>
      <w:pPr>
        <w:ind w:left="1800" w:hanging="720"/>
      </w:pPr>
      <w:rPr>
        <w:rFonts w:eastAsiaTheme="minorHAnsi" w:hint="default"/>
      </w:rPr>
    </w:lvl>
    <w:lvl w:ilvl="3">
      <w:start w:val="1"/>
      <w:numFmt w:val="decimal"/>
      <w:isLgl/>
      <w:lvlText w:val="%1.%2.%3.%4."/>
      <w:lvlJc w:val="left"/>
      <w:pPr>
        <w:ind w:left="2160" w:hanging="720"/>
      </w:pPr>
      <w:rPr>
        <w:rFonts w:eastAsiaTheme="minorHAnsi" w:hint="default"/>
      </w:rPr>
    </w:lvl>
    <w:lvl w:ilvl="4">
      <w:start w:val="1"/>
      <w:numFmt w:val="decimal"/>
      <w:isLgl/>
      <w:lvlText w:val="%1.%2.%3.%4.%5."/>
      <w:lvlJc w:val="left"/>
      <w:pPr>
        <w:ind w:left="2880" w:hanging="1080"/>
      </w:pPr>
      <w:rPr>
        <w:rFonts w:eastAsiaTheme="minorHAnsi" w:hint="default"/>
      </w:rPr>
    </w:lvl>
    <w:lvl w:ilvl="5">
      <w:start w:val="1"/>
      <w:numFmt w:val="decimal"/>
      <w:isLgl/>
      <w:lvlText w:val="%1.%2.%3.%4.%5.%6."/>
      <w:lvlJc w:val="left"/>
      <w:pPr>
        <w:ind w:left="3240" w:hanging="1080"/>
      </w:pPr>
      <w:rPr>
        <w:rFonts w:eastAsiaTheme="minorHAnsi" w:hint="default"/>
      </w:rPr>
    </w:lvl>
    <w:lvl w:ilvl="6">
      <w:start w:val="1"/>
      <w:numFmt w:val="decimal"/>
      <w:isLgl/>
      <w:lvlText w:val="%1.%2.%3.%4.%5.%6.%7."/>
      <w:lvlJc w:val="left"/>
      <w:pPr>
        <w:ind w:left="3960" w:hanging="1440"/>
      </w:pPr>
      <w:rPr>
        <w:rFonts w:eastAsiaTheme="minorHAnsi" w:hint="default"/>
      </w:rPr>
    </w:lvl>
    <w:lvl w:ilvl="7">
      <w:start w:val="1"/>
      <w:numFmt w:val="decimal"/>
      <w:isLgl/>
      <w:lvlText w:val="%1.%2.%3.%4.%5.%6.%7.%8."/>
      <w:lvlJc w:val="left"/>
      <w:pPr>
        <w:ind w:left="4320" w:hanging="1440"/>
      </w:pPr>
      <w:rPr>
        <w:rFonts w:eastAsiaTheme="minorHAnsi" w:hint="default"/>
      </w:rPr>
    </w:lvl>
    <w:lvl w:ilvl="8">
      <w:start w:val="1"/>
      <w:numFmt w:val="decimal"/>
      <w:isLgl/>
      <w:lvlText w:val="%1.%2.%3.%4.%5.%6.%7.%8.%9."/>
      <w:lvlJc w:val="left"/>
      <w:pPr>
        <w:ind w:left="5040" w:hanging="1800"/>
      </w:pPr>
      <w:rPr>
        <w:rFonts w:eastAsiaTheme="minorHAnsi" w:hint="default"/>
      </w:rPr>
    </w:lvl>
  </w:abstractNum>
  <w:abstractNum w:abstractNumId="1" w15:restartNumberingAfterBreak="0">
    <w:nsid w:val="082E7431"/>
    <w:multiLevelType w:val="hybridMultilevel"/>
    <w:tmpl w:val="A43066F6"/>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0C5714B1"/>
    <w:multiLevelType w:val="hybridMultilevel"/>
    <w:tmpl w:val="AE3EFC36"/>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0F544AC9"/>
    <w:multiLevelType w:val="hybridMultilevel"/>
    <w:tmpl w:val="0C2C6C86"/>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118E3914"/>
    <w:multiLevelType w:val="hybridMultilevel"/>
    <w:tmpl w:val="0C44F1C8"/>
    <w:lvl w:ilvl="0" w:tplc="73224C7E">
      <w:numFmt w:val="bullet"/>
      <w:lvlText w:val=""/>
      <w:lvlJc w:val="left"/>
      <w:pPr>
        <w:ind w:left="720" w:hanging="360"/>
      </w:pPr>
      <w:rPr>
        <w:rFonts w:ascii="Wingdings" w:eastAsiaTheme="minorHAnsi" w:hAnsi="Wingding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11EA7B9B"/>
    <w:multiLevelType w:val="hybridMultilevel"/>
    <w:tmpl w:val="E8FCBBA6"/>
    <w:lvl w:ilvl="0" w:tplc="73924588">
      <w:start w:val="2"/>
      <w:numFmt w:val="bullet"/>
      <w:lvlText w:val="-"/>
      <w:lvlJc w:val="left"/>
      <w:pPr>
        <w:ind w:left="1068" w:hanging="360"/>
      </w:pPr>
      <w:rPr>
        <w:rFonts w:ascii="Calibri" w:eastAsiaTheme="minorHAnsi" w:hAnsi="Calibri" w:cs="Calibri" w:hint="default"/>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6" w15:restartNumberingAfterBreak="0">
    <w:nsid w:val="1C3555FD"/>
    <w:multiLevelType w:val="hybridMultilevel"/>
    <w:tmpl w:val="B49C7364"/>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 w15:restartNumberingAfterBreak="0">
    <w:nsid w:val="202A2ED6"/>
    <w:multiLevelType w:val="hybridMultilevel"/>
    <w:tmpl w:val="EF4865BA"/>
    <w:lvl w:ilvl="0" w:tplc="D72067D6">
      <w:start w:val="1"/>
      <w:numFmt w:val="decimal"/>
      <w:lvlText w:val="%1)"/>
      <w:lvlJc w:val="left"/>
      <w:pPr>
        <w:ind w:left="1080" w:hanging="360"/>
      </w:pPr>
      <w:rPr>
        <w:rFonts w:eastAsiaTheme="minorHAnsi" w:hint="default"/>
      </w:rPr>
    </w:lvl>
    <w:lvl w:ilvl="1" w:tplc="080C0019">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8" w15:restartNumberingAfterBreak="0">
    <w:nsid w:val="38E61BAF"/>
    <w:multiLevelType w:val="hybridMultilevel"/>
    <w:tmpl w:val="12801C3E"/>
    <w:lvl w:ilvl="0" w:tplc="01D0C1CA">
      <w:start w:val="6"/>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3CE4473D"/>
    <w:multiLevelType w:val="hybridMultilevel"/>
    <w:tmpl w:val="0C94FBA0"/>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0" w15:restartNumberingAfterBreak="0">
    <w:nsid w:val="48BA4A92"/>
    <w:multiLevelType w:val="multilevel"/>
    <w:tmpl w:val="2826BC2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4F385F62"/>
    <w:multiLevelType w:val="hybridMultilevel"/>
    <w:tmpl w:val="CD80488A"/>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2" w15:restartNumberingAfterBreak="0">
    <w:nsid w:val="52496F76"/>
    <w:multiLevelType w:val="hybridMultilevel"/>
    <w:tmpl w:val="A91E4F8C"/>
    <w:lvl w:ilvl="0" w:tplc="6F6E36B8">
      <w:start w:val="2"/>
      <w:numFmt w:val="bullet"/>
      <w:lvlText w:val=""/>
      <w:lvlJc w:val="left"/>
      <w:pPr>
        <w:ind w:left="1068" w:hanging="360"/>
      </w:pPr>
      <w:rPr>
        <w:rFonts w:ascii="Wingdings" w:eastAsiaTheme="minorHAnsi" w:hAnsi="Wingdings" w:cstheme="minorBidi" w:hint="default"/>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13" w15:restartNumberingAfterBreak="0">
    <w:nsid w:val="61F65D9C"/>
    <w:multiLevelType w:val="hybridMultilevel"/>
    <w:tmpl w:val="ADC0355C"/>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4" w15:restartNumberingAfterBreak="0">
    <w:nsid w:val="6460120A"/>
    <w:multiLevelType w:val="hybridMultilevel"/>
    <w:tmpl w:val="0A525256"/>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5" w15:restartNumberingAfterBreak="0">
    <w:nsid w:val="64F31B43"/>
    <w:multiLevelType w:val="hybridMultilevel"/>
    <w:tmpl w:val="BEEA96B6"/>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6" w15:restartNumberingAfterBreak="0">
    <w:nsid w:val="6DD95CCB"/>
    <w:multiLevelType w:val="hybridMultilevel"/>
    <w:tmpl w:val="FDF8E142"/>
    <w:lvl w:ilvl="0" w:tplc="96B670B2">
      <w:start w:val="3"/>
      <w:numFmt w:val="bullet"/>
      <w:lvlText w:val=""/>
      <w:lvlJc w:val="left"/>
      <w:pPr>
        <w:ind w:left="720" w:hanging="360"/>
      </w:pPr>
      <w:rPr>
        <w:rFonts w:ascii="Symbol" w:eastAsiaTheme="minorHAnsi" w:hAnsi="Symbol" w:cstheme="minorBidi"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 w15:restartNumberingAfterBreak="0">
    <w:nsid w:val="790C0D26"/>
    <w:multiLevelType w:val="multilevel"/>
    <w:tmpl w:val="2826BC2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7"/>
  </w:num>
  <w:num w:numId="2">
    <w:abstractNumId w:val="8"/>
  </w:num>
  <w:num w:numId="3">
    <w:abstractNumId w:val="3"/>
  </w:num>
  <w:num w:numId="4">
    <w:abstractNumId w:val="5"/>
  </w:num>
  <w:num w:numId="5">
    <w:abstractNumId w:val="12"/>
  </w:num>
  <w:num w:numId="6">
    <w:abstractNumId w:val="6"/>
  </w:num>
  <w:num w:numId="7">
    <w:abstractNumId w:val="16"/>
  </w:num>
  <w:num w:numId="8">
    <w:abstractNumId w:val="15"/>
  </w:num>
  <w:num w:numId="9">
    <w:abstractNumId w:val="4"/>
  </w:num>
  <w:num w:numId="10">
    <w:abstractNumId w:val="10"/>
  </w:num>
  <w:num w:numId="11">
    <w:abstractNumId w:val="1"/>
  </w:num>
  <w:num w:numId="12">
    <w:abstractNumId w:val="14"/>
  </w:num>
  <w:num w:numId="13">
    <w:abstractNumId w:val="13"/>
  </w:num>
  <w:num w:numId="14">
    <w:abstractNumId w:val="7"/>
  </w:num>
  <w:num w:numId="15">
    <w:abstractNumId w:val="0"/>
  </w:num>
  <w:num w:numId="16">
    <w:abstractNumId w:val="9"/>
  </w:num>
  <w:num w:numId="17">
    <w:abstractNumId w:val="2"/>
  </w:num>
  <w:num w:numId="18">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LACRE  Marie">
    <w15:presenceInfo w15:providerId="AD" w15:userId="S::Marie.Delacre@ulb.be::6ee3b418-2adf-4ddd-b1b2-85bd7302a6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49C"/>
    <w:rsid w:val="00006A17"/>
    <w:rsid w:val="00016A4F"/>
    <w:rsid w:val="00020567"/>
    <w:rsid w:val="000217F0"/>
    <w:rsid w:val="00030F1F"/>
    <w:rsid w:val="00050127"/>
    <w:rsid w:val="00077E1C"/>
    <w:rsid w:val="000814BC"/>
    <w:rsid w:val="000C384A"/>
    <w:rsid w:val="000C4521"/>
    <w:rsid w:val="000C49D7"/>
    <w:rsid w:val="000D101E"/>
    <w:rsid w:val="000E18A0"/>
    <w:rsid w:val="00105304"/>
    <w:rsid w:val="0011515F"/>
    <w:rsid w:val="00131E68"/>
    <w:rsid w:val="00134B52"/>
    <w:rsid w:val="00136B3C"/>
    <w:rsid w:val="00141B41"/>
    <w:rsid w:val="001432E3"/>
    <w:rsid w:val="001433A9"/>
    <w:rsid w:val="00146669"/>
    <w:rsid w:val="00147D62"/>
    <w:rsid w:val="00167269"/>
    <w:rsid w:val="0017152F"/>
    <w:rsid w:val="001945D0"/>
    <w:rsid w:val="00195639"/>
    <w:rsid w:val="001A6259"/>
    <w:rsid w:val="001B16F5"/>
    <w:rsid w:val="001C7176"/>
    <w:rsid w:val="001E0E65"/>
    <w:rsid w:val="00210C66"/>
    <w:rsid w:val="00215841"/>
    <w:rsid w:val="00224257"/>
    <w:rsid w:val="00230AB7"/>
    <w:rsid w:val="002310FB"/>
    <w:rsid w:val="00235230"/>
    <w:rsid w:val="00242D2A"/>
    <w:rsid w:val="0025603D"/>
    <w:rsid w:val="00256C19"/>
    <w:rsid w:val="00264168"/>
    <w:rsid w:val="0026688C"/>
    <w:rsid w:val="00290B7E"/>
    <w:rsid w:val="002A1613"/>
    <w:rsid w:val="002A4353"/>
    <w:rsid w:val="002B0CA3"/>
    <w:rsid w:val="002B2A3F"/>
    <w:rsid w:val="002C0B87"/>
    <w:rsid w:val="002C5899"/>
    <w:rsid w:val="002D288A"/>
    <w:rsid w:val="002D3CF0"/>
    <w:rsid w:val="002D596B"/>
    <w:rsid w:val="002E4C26"/>
    <w:rsid w:val="002F75E6"/>
    <w:rsid w:val="0030089E"/>
    <w:rsid w:val="00322A6E"/>
    <w:rsid w:val="00323E83"/>
    <w:rsid w:val="003357FB"/>
    <w:rsid w:val="003401BD"/>
    <w:rsid w:val="00341A07"/>
    <w:rsid w:val="00347722"/>
    <w:rsid w:val="00354B72"/>
    <w:rsid w:val="00382480"/>
    <w:rsid w:val="00384A22"/>
    <w:rsid w:val="0039650B"/>
    <w:rsid w:val="003A2303"/>
    <w:rsid w:val="003B7877"/>
    <w:rsid w:val="003C1AC7"/>
    <w:rsid w:val="003C269F"/>
    <w:rsid w:val="003C573F"/>
    <w:rsid w:val="003E457D"/>
    <w:rsid w:val="003F067A"/>
    <w:rsid w:val="003F44EE"/>
    <w:rsid w:val="003F5106"/>
    <w:rsid w:val="003F5B62"/>
    <w:rsid w:val="00406EB6"/>
    <w:rsid w:val="0041231A"/>
    <w:rsid w:val="00423F2A"/>
    <w:rsid w:val="00427030"/>
    <w:rsid w:val="0045637D"/>
    <w:rsid w:val="0048004F"/>
    <w:rsid w:val="004834F4"/>
    <w:rsid w:val="00484658"/>
    <w:rsid w:val="00485538"/>
    <w:rsid w:val="0049246D"/>
    <w:rsid w:val="004B6989"/>
    <w:rsid w:val="004C1899"/>
    <w:rsid w:val="004D1EE9"/>
    <w:rsid w:val="004D5F62"/>
    <w:rsid w:val="004E074D"/>
    <w:rsid w:val="004E5D34"/>
    <w:rsid w:val="00503740"/>
    <w:rsid w:val="00503C1E"/>
    <w:rsid w:val="00505D4F"/>
    <w:rsid w:val="00513AB6"/>
    <w:rsid w:val="00517DB9"/>
    <w:rsid w:val="00537F2A"/>
    <w:rsid w:val="00554AF3"/>
    <w:rsid w:val="005607B7"/>
    <w:rsid w:val="0056719B"/>
    <w:rsid w:val="00571935"/>
    <w:rsid w:val="00584539"/>
    <w:rsid w:val="005916CA"/>
    <w:rsid w:val="005E3615"/>
    <w:rsid w:val="005E3B80"/>
    <w:rsid w:val="005F32BB"/>
    <w:rsid w:val="00614C98"/>
    <w:rsid w:val="00615076"/>
    <w:rsid w:val="00616C8C"/>
    <w:rsid w:val="0062176F"/>
    <w:rsid w:val="00640CC8"/>
    <w:rsid w:val="00644B60"/>
    <w:rsid w:val="00655769"/>
    <w:rsid w:val="00661F22"/>
    <w:rsid w:val="00664AB6"/>
    <w:rsid w:val="0067452E"/>
    <w:rsid w:val="006E7170"/>
    <w:rsid w:val="006F192C"/>
    <w:rsid w:val="006F2739"/>
    <w:rsid w:val="006F4714"/>
    <w:rsid w:val="00712B40"/>
    <w:rsid w:val="00712C5D"/>
    <w:rsid w:val="007148F9"/>
    <w:rsid w:val="00750781"/>
    <w:rsid w:val="007566F2"/>
    <w:rsid w:val="007605C9"/>
    <w:rsid w:val="00761031"/>
    <w:rsid w:val="00783BAC"/>
    <w:rsid w:val="007861D7"/>
    <w:rsid w:val="007C2FA8"/>
    <w:rsid w:val="007E2F5E"/>
    <w:rsid w:val="007F0A0F"/>
    <w:rsid w:val="00805782"/>
    <w:rsid w:val="00824503"/>
    <w:rsid w:val="008350E3"/>
    <w:rsid w:val="00840390"/>
    <w:rsid w:val="00877C7B"/>
    <w:rsid w:val="008B469D"/>
    <w:rsid w:val="008B6075"/>
    <w:rsid w:val="008C5082"/>
    <w:rsid w:val="008F48FE"/>
    <w:rsid w:val="0091164B"/>
    <w:rsid w:val="0091370F"/>
    <w:rsid w:val="00921C63"/>
    <w:rsid w:val="00935401"/>
    <w:rsid w:val="00947F8C"/>
    <w:rsid w:val="009568AD"/>
    <w:rsid w:val="009644B5"/>
    <w:rsid w:val="009665F6"/>
    <w:rsid w:val="009821AD"/>
    <w:rsid w:val="009905E3"/>
    <w:rsid w:val="009A2973"/>
    <w:rsid w:val="009B43F6"/>
    <w:rsid w:val="009D0E4C"/>
    <w:rsid w:val="009D1572"/>
    <w:rsid w:val="009F0C69"/>
    <w:rsid w:val="009F718E"/>
    <w:rsid w:val="00A00573"/>
    <w:rsid w:val="00A018DE"/>
    <w:rsid w:val="00A12CA9"/>
    <w:rsid w:val="00A24E2F"/>
    <w:rsid w:val="00A44683"/>
    <w:rsid w:val="00A50C41"/>
    <w:rsid w:val="00A57B8A"/>
    <w:rsid w:val="00A60254"/>
    <w:rsid w:val="00A6663E"/>
    <w:rsid w:val="00A90301"/>
    <w:rsid w:val="00A91DA2"/>
    <w:rsid w:val="00A97626"/>
    <w:rsid w:val="00AD76FD"/>
    <w:rsid w:val="00B0471E"/>
    <w:rsid w:val="00B162CF"/>
    <w:rsid w:val="00B17DD7"/>
    <w:rsid w:val="00B26F77"/>
    <w:rsid w:val="00B45277"/>
    <w:rsid w:val="00B507C9"/>
    <w:rsid w:val="00B61A95"/>
    <w:rsid w:val="00B64304"/>
    <w:rsid w:val="00B64814"/>
    <w:rsid w:val="00B65B02"/>
    <w:rsid w:val="00B663B3"/>
    <w:rsid w:val="00B67E1F"/>
    <w:rsid w:val="00B70997"/>
    <w:rsid w:val="00B738A9"/>
    <w:rsid w:val="00B825DC"/>
    <w:rsid w:val="00B83253"/>
    <w:rsid w:val="00BC5E8F"/>
    <w:rsid w:val="00BD0192"/>
    <w:rsid w:val="00BF1B2D"/>
    <w:rsid w:val="00C07308"/>
    <w:rsid w:val="00C1348A"/>
    <w:rsid w:val="00C158AA"/>
    <w:rsid w:val="00C73ED4"/>
    <w:rsid w:val="00C741AE"/>
    <w:rsid w:val="00CA16B2"/>
    <w:rsid w:val="00CA638B"/>
    <w:rsid w:val="00CA66FE"/>
    <w:rsid w:val="00CA764F"/>
    <w:rsid w:val="00CC308C"/>
    <w:rsid w:val="00CE5AE6"/>
    <w:rsid w:val="00CF2572"/>
    <w:rsid w:val="00CF449C"/>
    <w:rsid w:val="00D06F29"/>
    <w:rsid w:val="00D07304"/>
    <w:rsid w:val="00D15E64"/>
    <w:rsid w:val="00D20F75"/>
    <w:rsid w:val="00D21199"/>
    <w:rsid w:val="00D334CF"/>
    <w:rsid w:val="00D66AE5"/>
    <w:rsid w:val="00D75379"/>
    <w:rsid w:val="00D858C4"/>
    <w:rsid w:val="00DA5A32"/>
    <w:rsid w:val="00DC3B26"/>
    <w:rsid w:val="00DD52E6"/>
    <w:rsid w:val="00DE52B2"/>
    <w:rsid w:val="00E020B2"/>
    <w:rsid w:val="00E0499F"/>
    <w:rsid w:val="00E166A1"/>
    <w:rsid w:val="00E24D10"/>
    <w:rsid w:val="00E56F2D"/>
    <w:rsid w:val="00E71CBF"/>
    <w:rsid w:val="00E77AE9"/>
    <w:rsid w:val="00E925B9"/>
    <w:rsid w:val="00E94E4A"/>
    <w:rsid w:val="00EA0244"/>
    <w:rsid w:val="00EA4FB3"/>
    <w:rsid w:val="00EC2477"/>
    <w:rsid w:val="00ED5DFB"/>
    <w:rsid w:val="00EF5532"/>
    <w:rsid w:val="00F0572F"/>
    <w:rsid w:val="00F24DB6"/>
    <w:rsid w:val="00F25699"/>
    <w:rsid w:val="00F3683B"/>
    <w:rsid w:val="00F6496E"/>
    <w:rsid w:val="00FC280B"/>
    <w:rsid w:val="00FC7137"/>
    <w:rsid w:val="00FD54D0"/>
    <w:rsid w:val="00FD598E"/>
    <w:rsid w:val="00FE6259"/>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CEE18"/>
  <w15:chartTrackingRefBased/>
  <w15:docId w15:val="{5CCB2AF9-9D71-4DBF-B6B2-F7731637A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F44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F44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66A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F449C"/>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CF449C"/>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CF449C"/>
    <w:pPr>
      <w:ind w:left="720"/>
      <w:contextualSpacing/>
    </w:pPr>
  </w:style>
  <w:style w:type="character" w:styleId="Textedelespacerserv">
    <w:name w:val="Placeholder Text"/>
    <w:basedOn w:val="Policepardfaut"/>
    <w:uiPriority w:val="99"/>
    <w:semiHidden/>
    <w:rsid w:val="00A91DA2"/>
    <w:rPr>
      <w:color w:val="808080"/>
    </w:rPr>
  </w:style>
  <w:style w:type="table" w:styleId="Grilledutableau">
    <w:name w:val="Table Grid"/>
    <w:basedOn w:val="TableauNormal"/>
    <w:uiPriority w:val="39"/>
    <w:rsid w:val="00CE5A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basdepage">
    <w:name w:val="footnote text"/>
    <w:basedOn w:val="Normal"/>
    <w:link w:val="NotedebasdepageCar"/>
    <w:uiPriority w:val="99"/>
    <w:semiHidden/>
    <w:unhideWhenUsed/>
    <w:rsid w:val="009B43F6"/>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B43F6"/>
    <w:rPr>
      <w:sz w:val="20"/>
      <w:szCs w:val="20"/>
    </w:rPr>
  </w:style>
  <w:style w:type="character" w:styleId="Appelnotedebasdep">
    <w:name w:val="footnote reference"/>
    <w:basedOn w:val="Policepardfaut"/>
    <w:uiPriority w:val="99"/>
    <w:semiHidden/>
    <w:unhideWhenUsed/>
    <w:rsid w:val="009B43F6"/>
    <w:rPr>
      <w:vertAlign w:val="superscript"/>
    </w:rPr>
  </w:style>
  <w:style w:type="character" w:styleId="Lienhypertexte">
    <w:name w:val="Hyperlink"/>
    <w:basedOn w:val="Policepardfaut"/>
    <w:uiPriority w:val="99"/>
    <w:semiHidden/>
    <w:unhideWhenUsed/>
    <w:rsid w:val="00B507C9"/>
    <w:rPr>
      <w:color w:val="0000FF"/>
      <w:u w:val="single"/>
    </w:rPr>
  </w:style>
  <w:style w:type="character" w:styleId="Lienhypertextesuivivisit">
    <w:name w:val="FollowedHyperlink"/>
    <w:basedOn w:val="Policepardfaut"/>
    <w:uiPriority w:val="99"/>
    <w:semiHidden/>
    <w:unhideWhenUsed/>
    <w:rsid w:val="004E5D34"/>
    <w:rPr>
      <w:color w:val="954F72" w:themeColor="followedHyperlink"/>
      <w:u w:val="single"/>
    </w:rPr>
  </w:style>
  <w:style w:type="paragraph" w:styleId="En-tte">
    <w:name w:val="header"/>
    <w:basedOn w:val="Normal"/>
    <w:link w:val="En-tteCar"/>
    <w:uiPriority w:val="99"/>
    <w:unhideWhenUsed/>
    <w:rsid w:val="00A97626"/>
    <w:pPr>
      <w:tabs>
        <w:tab w:val="center" w:pos="4536"/>
        <w:tab w:val="right" w:pos="9072"/>
      </w:tabs>
      <w:spacing w:after="0" w:line="240" w:lineRule="auto"/>
    </w:pPr>
  </w:style>
  <w:style w:type="character" w:customStyle="1" w:styleId="En-tteCar">
    <w:name w:val="En-tête Car"/>
    <w:basedOn w:val="Policepardfaut"/>
    <w:link w:val="En-tte"/>
    <w:uiPriority w:val="99"/>
    <w:rsid w:val="00A97626"/>
  </w:style>
  <w:style w:type="paragraph" w:styleId="Pieddepage">
    <w:name w:val="footer"/>
    <w:basedOn w:val="Normal"/>
    <w:link w:val="PieddepageCar"/>
    <w:uiPriority w:val="99"/>
    <w:unhideWhenUsed/>
    <w:rsid w:val="00A9762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97626"/>
  </w:style>
  <w:style w:type="character" w:customStyle="1" w:styleId="Titre3Car">
    <w:name w:val="Titre 3 Car"/>
    <w:basedOn w:val="Policepardfaut"/>
    <w:link w:val="Titre3"/>
    <w:uiPriority w:val="9"/>
    <w:rsid w:val="00D66AE5"/>
    <w:rPr>
      <w:rFonts w:asciiTheme="majorHAnsi" w:eastAsiaTheme="majorEastAsia" w:hAnsiTheme="majorHAnsi" w:cstheme="majorBidi"/>
      <w:color w:val="1F3763" w:themeColor="accent1" w:themeShade="7F"/>
      <w:sz w:val="24"/>
      <w:szCs w:val="24"/>
    </w:rPr>
  </w:style>
  <w:style w:type="character" w:styleId="Marquedecommentaire">
    <w:name w:val="annotation reference"/>
    <w:basedOn w:val="Policepardfaut"/>
    <w:uiPriority w:val="99"/>
    <w:semiHidden/>
    <w:unhideWhenUsed/>
    <w:rsid w:val="00DC3B26"/>
    <w:rPr>
      <w:sz w:val="16"/>
      <w:szCs w:val="16"/>
    </w:rPr>
  </w:style>
  <w:style w:type="paragraph" w:styleId="Commentaire">
    <w:name w:val="annotation text"/>
    <w:basedOn w:val="Normal"/>
    <w:link w:val="CommentaireCar"/>
    <w:uiPriority w:val="99"/>
    <w:semiHidden/>
    <w:unhideWhenUsed/>
    <w:rsid w:val="00DC3B26"/>
    <w:pPr>
      <w:spacing w:line="240" w:lineRule="auto"/>
    </w:pPr>
    <w:rPr>
      <w:sz w:val="20"/>
      <w:szCs w:val="20"/>
    </w:rPr>
  </w:style>
  <w:style w:type="character" w:customStyle="1" w:styleId="CommentaireCar">
    <w:name w:val="Commentaire Car"/>
    <w:basedOn w:val="Policepardfaut"/>
    <w:link w:val="Commentaire"/>
    <w:uiPriority w:val="99"/>
    <w:semiHidden/>
    <w:rsid w:val="00DC3B26"/>
    <w:rPr>
      <w:sz w:val="20"/>
      <w:szCs w:val="20"/>
    </w:rPr>
  </w:style>
  <w:style w:type="paragraph" w:styleId="Objetducommentaire">
    <w:name w:val="annotation subject"/>
    <w:basedOn w:val="Commentaire"/>
    <w:next w:val="Commentaire"/>
    <w:link w:val="ObjetducommentaireCar"/>
    <w:uiPriority w:val="99"/>
    <w:semiHidden/>
    <w:unhideWhenUsed/>
    <w:rsid w:val="00DC3B26"/>
    <w:rPr>
      <w:b/>
      <w:bCs/>
    </w:rPr>
  </w:style>
  <w:style w:type="character" w:customStyle="1" w:styleId="ObjetducommentaireCar">
    <w:name w:val="Objet du commentaire Car"/>
    <w:basedOn w:val="CommentaireCar"/>
    <w:link w:val="Objetducommentaire"/>
    <w:uiPriority w:val="99"/>
    <w:semiHidden/>
    <w:rsid w:val="00DC3B2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105200">
      <w:bodyDiv w:val="1"/>
      <w:marLeft w:val="0"/>
      <w:marRight w:val="0"/>
      <w:marTop w:val="0"/>
      <w:marBottom w:val="0"/>
      <w:divBdr>
        <w:top w:val="none" w:sz="0" w:space="0" w:color="auto"/>
        <w:left w:val="none" w:sz="0" w:space="0" w:color="auto"/>
        <w:bottom w:val="none" w:sz="0" w:space="0" w:color="auto"/>
        <w:right w:val="none" w:sz="0" w:space="0" w:color="auto"/>
      </w:divBdr>
    </w:div>
    <w:div w:id="1899513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lindeloev.github.io/tests-as-linear/"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7.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D63DAE-88DE-4B33-B5A3-A70ED68D7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5197</Words>
  <Characters>28586</Characters>
  <Application>Microsoft Office Word</Application>
  <DocSecurity>0</DocSecurity>
  <Lines>238</Lines>
  <Paragraphs>67</Paragraphs>
  <ScaleCrop>false</ScaleCrop>
  <HeadingPairs>
    <vt:vector size="4" baseType="variant">
      <vt:variant>
        <vt:lpstr>Titre</vt:lpstr>
      </vt:variant>
      <vt:variant>
        <vt:i4>1</vt:i4>
      </vt:variant>
      <vt:variant>
        <vt:lpstr>Titres</vt:lpstr>
      </vt:variant>
      <vt:variant>
        <vt:i4>22</vt:i4>
      </vt:variant>
    </vt:vector>
  </HeadingPairs>
  <TitlesOfParts>
    <vt:vector size="23" baseType="lpstr">
      <vt:lpstr/>
      <vt:lpstr>Anticipation de questions pour ma thèse </vt:lpstr>
      <vt:lpstr>    Tailles d’effets non standardisées : réflexion (résumé de l’article de Pek &amp; Flo</vt:lpstr>
      <vt:lpstr>    Pourquoi ne pas opter pour des transformations plutôt que des tests robustes?</vt:lpstr>
      <vt:lpstr>    Aide à l’interprétation d’une mesure standardisée</vt:lpstr>
      <vt:lpstr>    Bootstrapping : comprendre comment l’utiliser pour comparer les moyennes</vt:lpstr>
      <vt:lpstr>    Quid du bayésien ? essayer de trouver une réponse-type au cas où (cf . article d</vt:lpstr>
      <vt:lpstr>    Lien test de Welch et régression</vt:lpstr>
      <vt:lpstr>    L’intercept et la pente de régression quand on compare la moyenne de deux groupe</vt:lpstr>
      <vt:lpstr>    Welch : un cas particulier où l’on n’assume pas les variances identiques</vt:lpstr>
      <vt:lpstr>Exemple concret d’étude où il y a un souci d’hétéroscédasticité et que cela amèn</vt:lpstr>
      <vt:lpstr>    Exemple concret d’étude où on tente de montrer une absence de différence sur bas</vt:lpstr>
      <vt:lpstr>    Exemple méthodologique de contexte où l’on tente de montrer une absence de diffé</vt:lpstr>
      <vt:lpstr>    Exemple concret d’étude où une petite taille d’effet a un intérêt pratique</vt:lpstr>
      <vt:lpstr>    Relire les taille d’effet hétérogène de Judd (pour Yzerbit)</vt:lpstr>
      <vt:lpstr>    Ok on observe des SDR différents de 1 dans la littérature, mais est-ce que les e</vt:lpstr>
      <vt:lpstr>    A revoir dans la thèse avant la défense (pour être capable de le ré-expliquer)</vt:lpstr>
      <vt:lpstr>        Limite de mes articles auxquelles je n’ai pas pensé en rédigeant ma thèse</vt:lpstr>
      <vt:lpstr>        Test de Yuen : l’étudier et revoir pourquoi il est moins puissant que le test t </vt:lpstr>
      <vt:lpstr>        </vt:lpstr>
      <vt:lpstr>        Explication rapide de l’IC autour des tailles d’effet standardisées (lien avec l</vt:lpstr>
      <vt:lpstr>        Micceri</vt:lpstr>
      <vt:lpstr>        Chapitre sur le test d’équivalence : comment j’ai créé la figure 28 (p.96, parti</vt:lpstr>
    </vt:vector>
  </TitlesOfParts>
  <Company/>
  <LinksUpToDate>false</LinksUpToDate>
  <CharactersWithSpaces>33716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DELACRE  Marie</dc:creator>
  <cp:keywords/>
  <dc:description/>
  <cp:lastModifiedBy>DELACRE  Marie</cp:lastModifiedBy>
  <cp:revision>196</cp:revision>
  <dcterms:created xsi:type="dcterms:W3CDTF">2021-10-12T07:39:00Z</dcterms:created>
  <dcterms:modified xsi:type="dcterms:W3CDTF">2021-10-26T11:01:00Z</dcterms:modified>
</cp:coreProperties>
</file>