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bras contratadas</w:t>
      </w: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odo de mantenimiento,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go de culminada la obra</w:t>
      </w: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8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41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Queda entendido y convenido que,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ego de culminada la obra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 o en ella endosados y sujeto al pago previo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{custom.EDS004_42_1}%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trato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ada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perdida.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al pago previo de la prima extra por parte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Asegurado, este seguro se extender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para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 aqu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especificado a cubrir solamente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en las obras contratadas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causados por el o los contratistas asegurados, cuando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stos ejecuten las operaciones a que les obliga la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 de mantenimiento de su contrato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 que ocurran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mantenimiento, siempre y cuando dichas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hayan sido causados en la obra durante el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construcci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y/o mo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ntaje antes de haber sido extendido el certificado de terminaci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 parte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ada o perdida.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Cobertura de mantenimiento: {@Meses} Meses luego de culminada la obra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{custom.EDS004_42_1}%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o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{custom.EDS004_42_4} por evento.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Prima extra: Incluida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9600" w:h="5400" w:hRule="exact" w:wrap="auto" w:vAnchor="page" w:hAnchor="page" w:x="1201" w:y="8297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5F2CCB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5F2CCB">
      <w:pPr>
        <w:framePr w:w="696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60pt,120pt" to="540.05pt,120pt" o:allowincell="f" strokeweight="1pt">
            <w10:wrap anchorx="page" anchory="page"/>
          </v:line>
        </w:pict>
      </w:r>
      <w:r>
        <w:rPr>
          <w:noProof/>
        </w:rPr>
        <w:pict>
          <v:line id="_x0000_s1049" style="position:absolute;left:0;text-align:left;z-index:-251634688;mso-position-horizontal-relative:page;mso-position-vertical-relative:page" from="60pt,198.75pt" to="300.05pt,198.75pt" o:allowincell="f" strokeweight="1pt">
            <w10:wrap anchorx="page" anchory="page"/>
          </v:line>
        </w:pict>
      </w:r>
      <w:r>
        <w:rPr>
          <w:noProof/>
        </w:rPr>
        <w:pict>
          <v:line id="_x0000_s1050" style="position:absolute;left:0;text-align:left;z-index:-251633664;mso-position-horizontal-relative:page;mso-position-vertical-relative:page" from="324pt,198.75pt" to="538.55pt,198.7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liza:{custom.Poliza}   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004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Cobertura Ampliada de Mantenimiento (Extended Maintenance)</w:t>
      </w:r>
    </w:p>
    <w:p w:rsidR="00000000" w:rsidRDefault="005F2CCB">
      <w:pPr>
        <w:framePr w:w="9600" w:h="60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5F2CCB">
      <w:pPr>
        <w:framePr w:w="3435" w:h="240" w:hRule="exact" w:wrap="auto" w:vAnchor="page" w:hAnchor="page" w:x="1201" w:y="277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1" type="#_x0000_t75" style="position:absolute;margin-left:60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5F2CCB">
      <w:pPr>
        <w:framePr w:w="3480" w:h="240" w:hRule="exact" w:wrap="auto" w:vAnchor="page" w:hAnchor="page" w:x="7081" w:y="40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5F2CCB">
      <w:pPr>
        <w:framePr w:w="4800" w:h="840" w:hRule="exact" w:wrap="auto" w:vAnchor="page" w:hAnchor="page" w:x="1201" w:y="409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RESERVA LA RIVIERA, S.A.</w:t>
      </w:r>
    </w:p>
    <w:p w:rsidR="00000000" w:rsidRDefault="005F2CCB">
      <w:pPr>
        <w:framePr w:w="8595" w:h="240" w:hRule="exact" w:wrap="auto" w:vAnchor="page" w:hAnchor="page" w:x="120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5F2CCB"/>
    <w:rsid w:val="005F2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2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3827</Words>
  <Characters>21049</Characters>
  <Application>Microsoft Office Word</Application>
  <DocSecurity>4</DocSecurity>
  <Lines>175</Lines>
  <Paragraphs>49</Paragraphs>
  <ScaleCrop>false</ScaleCrop>
  <Company>Crystal Decisions</Company>
  <LinksUpToDate>false</LinksUpToDate>
  <CharactersWithSpaces>24827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EF9F394EC3DD0F1F49A3567EDD13ADD91886237C1495BA975BDBE5191898A8E50835AE22C49C29011CBBB9C0396B5B064304ACB086F65907DFF40E1F766D17099BA56EF7FBE11C3FB9841D0B4709572F14A89F7A6461653140FB3F9CCC502D90EAC</vt:lpwstr>
  </property>
</Properties>
</file>