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986A0A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115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del Riesgo de Dise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{custom.EDS115_66_1}% del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exclusiones,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7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7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7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educible: {custom.EDS115_66_1}% del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7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7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775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 xml:space="preserve">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86A0A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86A0A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8" style="position:absolute;left:0;text-align:left;z-index:-25165619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115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del Riesgo de Dise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{custom.EDS115_66_1}%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usulas y condiciones contenidos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d.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ble: {custom.EDS115_66_1}% del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86A0A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86A0A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0" style="position:absolute;left:0;text-align:left;z-index:-25165414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115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del Riesgo de Dise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{custom.EDS115_66_1}%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usulas y condiciones contenidos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d.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ble: {custom.EDS115_66_1}% del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86A0A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86A0A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2" style="position:absolute;left:0;text-align:left;z-index:-251652096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115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del Riesgo de Dise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{custom.EDS115_66_1}%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usulas y condiciones contenidos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d.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ble: {custom.EDS115_66_1}% del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86A0A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86A0A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4" style="position:absolute;left:0;text-align:left;z-index:-251650048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115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del Riesgo de Dise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{custom.EDS115_66_1}%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usulas y condiciones contenidos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d.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ble: {custom.EDS115_66_1}% del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86A0A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86A0A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6" style="position:absolute;left:0;text-align:left;z-index:-25164800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115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del Riesgo de Dise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{custom.EDS115_66_1}%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usulas y condiciones contenidos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d. Costo de reemplazo,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66_1}% del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86A0A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86A0A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8" style="position:absolute;left:0;text-align:left;z-index:-25164595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115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del Riesgo de Dise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9" type="#_x0000_t75" style="position:absolute;left:0;text-align:left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{custom.EDS115_66_1}% del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{custom.EDS115_66_3}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{custom.EDS115_66_1}% del monto de la perdida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86A0A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86A0A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0" style="position:absolute;left:0;text-align:left;z-index:-25164390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115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del Riesgo de Dise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1" type="#_x0000_t75" style="position:absolute;left:0;text-align:left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{custom.EDS115_66_1}% del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{custom.EDS115_66_3}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{custom.EDS115_66_1}% del monto de la perdida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86A0A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86A0A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2" style="position:absolute;left:0;text-align:left;z-index:-251641856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115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del Riesgo de Dise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3" type="#_x0000_t75" style="position:absolute;left:0;text-align:left;margin-left:60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{custom.EDS115_66_1}%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usulas y condiciones contenidos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d.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ble: {custom.EDS115_66_1}% del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86A0A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86A0A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4" style="position:absolute;left:0;text-align:left;z-index:-251639808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115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del Riesgo de Dise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5" type="#_x0000_t75" style="position:absolute;left:0;text-align:left;margin-left:60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{custom.EDS115_66_1}%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usulas y condiciones contenidos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d.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ble: {custom.EDS115_66_1}% del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86A0A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86A0A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6" style="position:absolute;left:0;text-align:left;z-index:-25163776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115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del Riesgo de Dise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7" type="#_x0000_t75" style="position:absolute;left:0;text-align:left;margin-left:60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{custom.EDS115_66_1}%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usulas y condiciones contenidos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d.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ble: {custom.EDS115_66_1}% del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86A0A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86A0A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8" style="position:absolute;left:0;text-align:left;z-index:-25163571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115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del Riesgo de Dise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9" type="#_x0000_t75" style="position:absolute;left:0;text-align:left;margin-left:60pt;margin-top:24pt;width:177.75pt;height:47.25pt;z-index:25168179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{custom.EDS115_66_1}%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usulas y condiciones contenidos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d.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ble: {custom.EDS115_66_1}% del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76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986A0A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986A0A">
      <w:pPr>
        <w:framePr w:w="7080" w:h="221" w:hRule="exact" w:wrap="auto" w:vAnchor="page" w:hAnchor="page" w:x="372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0" style="position:absolute;left:0;text-align:left;z-index:-25163366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noProof/>
        </w:rPr>
        <w:pict>
          <v:line id="_x0000_s1051" style="position:absolute;left:0;text-align:left;z-index:-251632640;mso-position-horizontal-relative:page;mso-position-vertical-relative:page" from="60pt,435.75pt" to="306.05pt,435.75pt" o:allowincell="f" strokeweight="1pt">
            <w10:wrap anchorx="page" anchory="page"/>
          </v:line>
        </w:pict>
      </w:r>
      <w:r>
        <w:rPr>
          <w:noProof/>
        </w:rPr>
        <w:pict>
          <v:line id="_x0000_s1052" style="position:absolute;left:0;text-align:left;z-index:-251631616;mso-position-horizontal-relative:page;mso-position-vertical-relative:page" from="330pt,435.75pt" to="544.55pt,435.7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115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del Riesgo de Dise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</w:t>
      </w:r>
    </w:p>
    <w:p w:rsidR="00000000" w:rsidRDefault="00986A0A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3" type="#_x0000_t75" style="position:absolute;left:0;text-align:left;margin-left:60pt;margin-top:24pt;width:177.75pt;height:47.25pt;z-index:25168588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2.c bajo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5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 suprime y la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2.d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sustituida por el siguiente texto: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“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d. Costo de reemplazo, reparaci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o subsanaci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partes a consecuencia de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sin embargo, esta exclusi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limitada a los bienes inmediatamente afectados y no tendr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aplicaci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para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o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en partes impecablemente ejecutadas a consecuencia de un evento accidental  debido a vicios de material, mano de obra defectuosa y/o errores en el 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lculo o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”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Limite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a indemnizar: {custom.EDS115_66_2}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{custom.EDS115_66_1}%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monto de la perdida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{custom.EDS115_66_3}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986A0A">
      <w:pPr>
        <w:framePr w:w="9720" w:h="480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986A0A">
      <w:pPr>
        <w:framePr w:w="3435" w:h="240" w:hRule="exact" w:wrap="auto" w:vAnchor="page" w:hAnchor="page" w:x="1201" w:y="75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986A0A">
      <w:pPr>
        <w:framePr w:w="4320" w:h="240" w:hRule="exact" w:wrap="auto" w:vAnchor="page" w:hAnchor="page" w:x="6601" w:y="8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986A0A">
      <w:pPr>
        <w:framePr w:w="4920" w:h="960" w:hRule="exact" w:wrap="auto" w:vAnchor="page" w:hAnchor="page" w:x="1201" w:y="8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CONSORCIO C&amp;T PUENTES MODULARES (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CONFORMADO POR: CONSTRUCTORA URBANA, S.A. Y TORONTO GLOBAL HOLDINGS CORP)</w:t>
      </w:r>
    </w:p>
    <w:p w:rsidR="00000000" w:rsidRDefault="00986A0A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986A0A"/>
    <w:rsid w:val="00986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54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4274</Words>
  <Characters>23508</Characters>
  <Application>Microsoft Office Word</Application>
  <DocSecurity>4</DocSecurity>
  <Lines>195</Lines>
  <Paragraphs>55</Paragraphs>
  <ScaleCrop>false</ScaleCrop>
  <Company>Crystal Decisions</Company>
  <LinksUpToDate>false</LinksUpToDate>
  <CharactersWithSpaces>27727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2026-09-25T00:24:00Z</dcterms:created>
  <dcterms:modified xsi:type="dcterms:W3CDTF">2026-09-25T00:24:00Z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EF92AB06850F8E9C25699137DE293054A1B2D052E06E1BCCDD922CA2DC819AC532B01BE5E99CE821B1D6B1DA2CC8080B19F08A591D5796EC7C3C2CC6B4D568605498541920D4DCD7392F7E13AAD1364644418DD875C9A68784B7774C91BB930AF8A</vt:lpwstr>
  </property>
</Properties>
</file>