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5D399" w14:textId="77777777" w:rsidR="0031553E" w:rsidRPr="0031553E" w:rsidRDefault="0031553E" w:rsidP="000814EB">
      <w:pPr>
        <w:framePr w:w="6667" w:h="216" w:hRule="exact" w:wrap="auto" w:vAnchor="page" w:hAnchor="page" w:x="4727" w:y="119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9"/>
          <w:szCs w:val="19"/>
        </w:rPr>
      </w:pPr>
      <w:r w:rsidRPr="0031553E">
        <w:rPr>
          <w:rFonts w:ascii="Arial" w:eastAsia="Times New Roman" w:hAnsi="Arial" w:cs="Arial"/>
          <w:b/>
          <w:color w:val="000000"/>
          <w:kern w:val="2"/>
          <w:sz w:val="19"/>
          <w:szCs w:val="19"/>
        </w:rPr>
        <w:t>{custom.NumeroFianza}</w:t>
      </w:r>
    </w:p>
    <w:p w14:paraId="0D143C11" w14:textId="69E950C6" w:rsidR="0031553E" w:rsidRPr="0031553E" w:rsidRDefault="0031553E" w:rsidP="000814EB">
      <w:pPr>
        <w:framePr w:w="6660" w:h="216" w:hRule="exact" w:wrap="auto" w:vAnchor="page" w:hAnchor="page" w:x="4727" w:y="156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9"/>
          <w:szCs w:val="19"/>
        </w:rPr>
      </w:pPr>
      <w:r w:rsidRPr="0031553E">
        <w:rPr>
          <w:rFonts w:ascii="Arial" w:eastAsia="Times New Roman" w:hAnsi="Arial" w:cs="Arial"/>
          <w:b/>
          <w:color w:val="000000"/>
          <w:kern w:val="2"/>
          <w:sz w:val="19"/>
          <w:szCs w:val="19"/>
        </w:rPr>
        <w:t>{custom.Tenedor}</w:t>
      </w:r>
    </w:p>
    <w:p w14:paraId="423E910D" w14:textId="21EEFC3E" w:rsidR="0031553E" w:rsidRPr="0031553E" w:rsidRDefault="0031553E" w:rsidP="000814EB">
      <w:pPr>
        <w:framePr w:w="6653" w:h="216" w:hRule="exact" w:wrap="auto" w:vAnchor="page" w:hAnchor="page" w:x="4734" w:y="265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9"/>
          <w:szCs w:val="19"/>
        </w:rPr>
      </w:pPr>
      <w:r w:rsidRPr="0031553E">
        <w:rPr>
          <w:rFonts w:ascii="Arial" w:eastAsia="Times New Roman" w:hAnsi="Arial" w:cs="Arial"/>
          <w:b/>
          <w:color w:val="000000"/>
          <w:kern w:val="2"/>
          <w:sz w:val="19"/>
          <w:szCs w:val="19"/>
        </w:rPr>
        <w:t>{custom.AFavor}</w:t>
      </w:r>
    </w:p>
    <w:p w14:paraId="76954A4C" w14:textId="77777777" w:rsidR="00DE3F55" w:rsidRDefault="00000000">
      <w:pPr>
        <w:framePr w:w="11492" w:h="425" w:hRule="exact" w:wrap="auto" w:vAnchor="page" w:hAnchor="page" w:x="395" w:y="5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 w:val="27"/>
          <w:szCs w:val="24"/>
        </w:rPr>
      </w:pPr>
      <w:r>
        <w:rPr>
          <w:noProof/>
        </w:rPr>
        <w:pict w14:anchorId="64FC120D">
          <v:rect id="_x0000_s1026" style="position:absolute;left:0;text-align:left;margin-left:25.65pt;margin-top:53.7pt;width:556.75pt;height:112.45pt;z-index:-2;mso-position-horizontal-relative:page;mso-position-vertical-relative:page" o:allowincell="f" filled="f" strokeweight="1pt">
            <w10:wrap anchorx="page" anchory="page"/>
          </v:rect>
        </w:pict>
      </w:r>
      <w:r>
        <w:rPr>
          <w:noProof/>
        </w:rPr>
        <w:pict w14:anchorId="354D6CBE">
          <v:rect id="_x0000_s1027" style="position:absolute;left:0;text-align:left;margin-left:22.25pt;margin-top:51.15pt;width:565.25pt;height:118.15pt;z-index:-1;mso-position-horizontal-relative:page;mso-position-vertical-relative:page" o:allowincell="f" filled="f" strokeweight="2pt">
            <w10:wrap anchorx="page" anchory="page"/>
          </v:rect>
        </w:pict>
      </w:r>
      <w:r w:rsidR="006F4F32">
        <w:rPr>
          <w:rFonts w:ascii="Arial" w:eastAsia="Times New Roman" w:hAnsi="Arial" w:cs="Arial"/>
          <w:b/>
          <w:color w:val="000000"/>
          <w:kern w:val="2"/>
          <w:sz w:val="27"/>
          <w:szCs w:val="24"/>
        </w:rPr>
        <w:t>FIANZA DE IMPUGNACIÓN</w:t>
      </w:r>
    </w:p>
    <w:p w14:paraId="58504091" w14:textId="77777777" w:rsidR="00DE3F55" w:rsidRDefault="006F4F32">
      <w:pPr>
        <w:framePr w:w="3213" w:h="242" w:hRule="exact" w:wrap="auto" w:vAnchor="page" w:hAnchor="page" w:x="650" w:y="119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NÚMERO DE FIANZA: {custom.NumeroFianza}</w:t>
      </w:r>
    </w:p>
    <w:p w14:paraId="19C9D75D" w14:textId="77777777" w:rsidR="00DE3F55" w:rsidRDefault="006F4F32">
      <w:pPr>
        <w:framePr w:w="3213" w:h="242" w:hRule="exact" w:wrap="auto" w:vAnchor="page" w:hAnchor="page" w:x="650" w:y="155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FIADO : </w:t>
      </w:r>
    </w:p>
    <w:p w14:paraId="6F57D8B5" w14:textId="77777777" w:rsidR="00DE3F55" w:rsidRDefault="006F4F32">
      <w:pPr>
        <w:framePr w:w="3213" w:h="374" w:hRule="exact" w:wrap="auto" w:vAnchor="page" w:hAnchor="page" w:x="650" w:y="186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ACTO IMPUGNACIÓN:</w:t>
      </w:r>
    </w:p>
    <w:p w14:paraId="1821945D" w14:textId="77777777" w:rsidR="00DE3F55" w:rsidRDefault="006F4F32" w:rsidP="000814EB">
      <w:pPr>
        <w:framePr w:w="6795" w:h="476" w:hRule="exact" w:wrap="auto" w:vAnchor="page" w:hAnchor="page" w:x="4727" w:y="183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GARANTÍA PARA ADJUNTAR ARECURSO DE IMPUGNACIÓN DE ACTO PÚBLICO ""</w:t>
      </w:r>
    </w:p>
    <w:p w14:paraId="5B4569F5" w14:textId="6E954059" w:rsidR="00DE3F55" w:rsidRDefault="006F4F32">
      <w:pPr>
        <w:framePr w:w="3213" w:h="242" w:hRule="exact" w:wrap="auto" w:vAnchor="page" w:hAnchor="page" w:x="650" w:y="2702"/>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BENEFICIARIO:</w:t>
      </w:r>
    </w:p>
    <w:p w14:paraId="10FEC25C" w14:textId="77777777" w:rsidR="00DE3F55" w:rsidRDefault="006F4F32">
      <w:pPr>
        <w:framePr w:w="3213" w:h="242" w:hRule="exact" w:wrap="auto" w:vAnchor="page" w:hAnchor="page" w:x="650" w:y="2405"/>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EMITASE A LA ORDEN DEL:</w:t>
      </w:r>
    </w:p>
    <w:p w14:paraId="1872FB8C" w14:textId="77777777" w:rsidR="00DE3F55" w:rsidRDefault="006F4F32" w:rsidP="000814EB">
      <w:pPr>
        <w:framePr w:w="6795" w:h="238" w:hRule="exact" w:wrap="auto" w:vAnchor="page" w:hAnchor="page" w:x="4734" w:y="23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TRIBUNAL ADMINISTRATIVO DE CONTRATACIONES PÚBLICAS.</w:t>
      </w:r>
    </w:p>
    <w:p w14:paraId="0E28DF36" w14:textId="5C5D0433" w:rsidR="00DE3F55" w:rsidRDefault="0031553E">
      <w:pPr>
        <w:framePr w:w="6810" w:h="238" w:hRule="exact" w:wrap="auto" w:vAnchor="page" w:hAnchor="page" w:x="4730" w:y="30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{custom.SumaTextoTotal}</w:t>
      </w:r>
    </w:p>
    <w:p w14:paraId="5107DAAE" w14:textId="77777777" w:rsidR="00DE3F55" w:rsidRDefault="006F4F32">
      <w:pPr>
        <w:framePr w:w="3933" w:h="242" w:hRule="exact" w:wrap="auto" w:vAnchor="page" w:hAnchor="page" w:x="650" w:y="3029"/>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LÍMITE MÁXIMO DE REPONSABILIDAD:</w:t>
      </w:r>
    </w:p>
    <w:p w14:paraId="355D2AAA" w14:textId="77777777" w:rsidR="00DE3F55" w:rsidRDefault="006F4F32">
      <w:pPr>
        <w:framePr w:w="4208" w:h="305" w:hRule="exact" w:wrap="auto" w:vAnchor="page" w:hAnchor="page" w:x="1168" w:y="13176"/>
        <w:widowControl w:val="0"/>
        <w:pBdr>
          <w:top w:val="single" w:sz="8" w:space="0" w:color="000000"/>
        </w:pBdr>
        <w:tabs>
          <w:tab w:val="left" w:pos="2280"/>
          <w:tab w:val="left" w:pos="2520"/>
          <w:tab w:val="left" w:pos="2880"/>
          <w:tab w:val="left" w:pos="3240"/>
          <w:tab w:val="left" w:pos="3600"/>
          <w:tab w:val="left" w:pos="396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523A9359" w14:textId="77777777" w:rsidR="00DE3F55" w:rsidRDefault="006F4F32">
      <w:pPr>
        <w:framePr w:w="4208" w:h="305" w:hRule="exact" w:wrap="auto" w:vAnchor="page" w:hAnchor="page" w:x="6489" w:y="13136"/>
        <w:widowControl w:val="0"/>
        <w:pBdr>
          <w:top w:val="single" w:sz="8" w:space="0" w:color="000000"/>
        </w:pBdr>
        <w:tabs>
          <w:tab w:val="left" w:pos="2280"/>
          <w:tab w:val="left" w:pos="2520"/>
          <w:tab w:val="left" w:pos="2880"/>
          <w:tab w:val="left" w:pos="3240"/>
          <w:tab w:val="left" w:pos="3600"/>
          <w:tab w:val="left" w:pos="396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2C33A423" w14:textId="77777777" w:rsidR="00DE3F55" w:rsidRDefault="006F4F32">
      <w:pPr>
        <w:framePr w:w="4688" w:h="591" w:hRule="exact" w:wrap="auto" w:vAnchor="page" w:hAnchor="page" w:x="879" w:y="12046"/>
        <w:widowControl w:val="0"/>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105"/>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POR LA FIADORA </w:t>
      </w:r>
    </w:p>
    <w:p w14:paraId="542C8E48" w14:textId="77777777" w:rsidR="00DE3F55" w:rsidRDefault="006F4F32">
      <w:pPr>
        <w:framePr w:w="4688" w:h="591" w:hRule="exact" w:wrap="auto" w:vAnchor="page" w:hAnchor="page" w:x="879" w:y="12046"/>
        <w:widowControl w:val="0"/>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105"/>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 ASEGURADORA GLOBAL, S.A. </w:t>
      </w:r>
    </w:p>
    <w:p w14:paraId="4C5B4981" w14:textId="77777777" w:rsidR="00DE3F55" w:rsidRDefault="006F4F32">
      <w:pPr>
        <w:framePr w:w="4977" w:h="714" w:hRule="exact" w:wrap="auto" w:vAnchor="page" w:hAnchor="page" w:x="6013" w:y="12046"/>
        <w:widowControl w:val="0"/>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100"/>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POR EL FIADO</w:t>
      </w:r>
    </w:p>
    <w:p w14:paraId="651FC289" w14:textId="04163B56" w:rsidR="00DE3F55" w:rsidRDefault="00AF671C">
      <w:pPr>
        <w:framePr w:w="4977" w:h="714" w:hRule="exact" w:wrap="auto" w:vAnchor="page" w:hAnchor="page" w:x="6013" w:y="12046"/>
        <w:widowControl w:val="0"/>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100"/>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{custom.Tenedor}</w:t>
      </w:r>
    </w:p>
    <w:p w14:paraId="0E76F876" w14:textId="77777777" w:rsidR="00DE3F55" w:rsidRDefault="00DE3F55">
      <w:pPr>
        <w:framePr w:w="4977" w:h="714" w:hRule="exact" w:wrap="auto" w:vAnchor="page" w:hAnchor="page" w:x="6013" w:y="12046"/>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9"/>
          <w:szCs w:val="24"/>
        </w:rPr>
      </w:pPr>
    </w:p>
    <w:p w14:paraId="05266F8F" w14:textId="410A6A6C" w:rsidR="00DE3F55" w:rsidRDefault="006F4F32">
      <w:pPr>
        <w:framePr w:w="11355" w:h="510" w:hRule="exact" w:wrap="auto" w:vAnchor="page" w:hAnchor="page" w:x="446" w:y="1156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En fe de lo cual, se suscribe este </w:t>
      </w:r>
      <w:r>
        <w:rPr>
          <w:rFonts w:ascii="Arial" w:eastAsia="Times New Roman" w:hAnsi="Arial" w:cs="Arial"/>
          <w:b/>
          <w:color w:val="000000"/>
          <w:kern w:val="2"/>
          <w:sz w:val="19"/>
          <w:szCs w:val="24"/>
        </w:rPr>
        <w:t>contrato</w:t>
      </w:r>
      <w:r>
        <w:rPr>
          <w:rFonts w:ascii="Arial" w:eastAsia="Times New Roman" w:hAnsi="Arial" w:cs="Arial"/>
          <w:color w:val="000000"/>
          <w:kern w:val="2"/>
          <w:sz w:val="19"/>
          <w:szCs w:val="24"/>
        </w:rPr>
        <w:t xml:space="preserve"> en la Ciudad de Panamá, a los </w:t>
      </w:r>
      <w:r w:rsidR="009732CB">
        <w:rPr>
          <w:rFonts w:ascii="Arial" w:eastAsia="Times New Roman" w:hAnsi="Arial" w:cs="Arial"/>
          <w:color w:val="000000"/>
          <w:kern w:val="2"/>
          <w:sz w:val="19"/>
          <w:szCs w:val="24"/>
        </w:rPr>
        <w:t>{custom.FechaActualTextoMin}</w:t>
      </w:r>
    </w:p>
    <w:p w14:paraId="2E926644" w14:textId="77777777" w:rsidR="00DE3F55" w:rsidRDefault="00DE3F55">
      <w:pPr>
        <w:framePr w:w="11355" w:h="510" w:hRule="exact" w:wrap="auto" w:vAnchor="page" w:hAnchor="page" w:x="446" w:y="1156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416A03B6" w14:textId="77777777" w:rsidR="00DE3F55" w:rsidRDefault="006F4F32">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b/>
          <w:color w:val="000000"/>
          <w:kern w:val="2"/>
          <w:sz w:val="19"/>
          <w:szCs w:val="24"/>
        </w:rPr>
        <w:t>OBJETO:</w:t>
      </w:r>
      <w:r>
        <w:rPr>
          <w:rFonts w:ascii="Arial" w:eastAsia="Times New Roman" w:hAnsi="Arial" w:cs="Arial"/>
          <w:color w:val="000000"/>
          <w:kern w:val="2"/>
          <w:sz w:val="19"/>
          <w:szCs w:val="24"/>
        </w:rPr>
        <w:t xml:space="preserve"> </w:t>
      </w:r>
      <w:r>
        <w:rPr>
          <w:rFonts w:ascii="Arial" w:eastAsia="Times New Roman" w:hAnsi="Arial" w:cs="Arial"/>
          <w:b/>
          <w:color w:val="000000"/>
          <w:kern w:val="2"/>
          <w:sz w:val="19"/>
          <w:szCs w:val="24"/>
        </w:rPr>
        <w:t>La FIADORA</w:t>
      </w:r>
      <w:r>
        <w:rPr>
          <w:rFonts w:ascii="Arial" w:eastAsia="Times New Roman" w:hAnsi="Arial" w:cs="Arial"/>
          <w:color w:val="000000"/>
          <w:kern w:val="2"/>
          <w:sz w:val="19"/>
          <w:szCs w:val="24"/>
        </w:rPr>
        <w:t xml:space="preserve"> garantiza el resarcimiento de los perjuicios y las lesiones que se le pudieran causar al interés público, en caso de que a juicio del Tribunal de la causa, se determine que el </w:t>
      </w:r>
      <w:r>
        <w:rPr>
          <w:rFonts w:ascii="Arial" w:eastAsia="Times New Roman" w:hAnsi="Arial" w:cs="Arial"/>
          <w:b/>
          <w:color w:val="000000"/>
          <w:kern w:val="2"/>
          <w:sz w:val="19"/>
          <w:szCs w:val="24"/>
        </w:rPr>
        <w:t xml:space="preserve">FIADO </w:t>
      </w:r>
      <w:r>
        <w:rPr>
          <w:rFonts w:ascii="Arial" w:eastAsia="Times New Roman" w:hAnsi="Arial" w:cs="Arial"/>
          <w:color w:val="000000"/>
          <w:kern w:val="2"/>
          <w:sz w:val="19"/>
          <w:szCs w:val="24"/>
        </w:rPr>
        <w:t>ejerció el recurso de impugnación de manera temeraria o con el propósito de dilatar la tramitación del proceso de contratación pública objeto del recurso, por el límite máximo de responsabilidad.</w:t>
      </w:r>
    </w:p>
    <w:p w14:paraId="1B1D4220" w14:textId="77777777" w:rsidR="00DE3F55" w:rsidRDefault="00DE3F55">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4C7E7368" w14:textId="77777777" w:rsidR="00DE3F55" w:rsidRDefault="006F4F32">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b/>
          <w:color w:val="000000"/>
          <w:kern w:val="2"/>
          <w:sz w:val="19"/>
          <w:szCs w:val="24"/>
        </w:rPr>
        <w:t>VIGENCIA:</w:t>
      </w:r>
      <w:r>
        <w:rPr>
          <w:rFonts w:ascii="Arial" w:eastAsia="Times New Roman" w:hAnsi="Arial" w:cs="Arial"/>
          <w:color w:val="000000"/>
          <w:kern w:val="2"/>
          <w:sz w:val="19"/>
          <w:szCs w:val="24"/>
        </w:rPr>
        <w:t xml:space="preserve"> Esta fianza permanecerá vigente por un (1) año a partir de la presentación del recurso de impugnación ante el Tribunal Administrativo de Contrataciones Públicas. En todos los casos, Tribunal Administrativo de Contrataciones Públicas, deberá ordenar de forma inmediata, la devolución de la fianza al recurrente , su depósito, o su ejecución a favor del Tesoro Nacional, según corresponda.</w:t>
      </w:r>
    </w:p>
    <w:p w14:paraId="2A1E35F3" w14:textId="77777777" w:rsidR="00DE3F55" w:rsidRDefault="00DE3F55">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64086498" w14:textId="4D5557B9" w:rsidR="00DE3F55" w:rsidRDefault="006F4F32">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b/>
          <w:color w:val="000000"/>
          <w:kern w:val="2"/>
          <w:sz w:val="19"/>
          <w:szCs w:val="24"/>
        </w:rPr>
        <w:t>EFECTIVIDAD DE LA GARANTÍA:</w:t>
      </w:r>
      <w:r>
        <w:rPr>
          <w:rFonts w:ascii="Arial" w:eastAsia="Times New Roman" w:hAnsi="Arial" w:cs="Arial"/>
          <w:color w:val="000000"/>
          <w:kern w:val="2"/>
          <w:sz w:val="19"/>
          <w:szCs w:val="24"/>
        </w:rPr>
        <w:t xml:space="preserve"> La obligación de </w:t>
      </w:r>
      <w:r w:rsidR="004E6272">
        <w:rPr>
          <w:rFonts w:ascii="Arial" w:eastAsia="Times New Roman" w:hAnsi="Arial" w:cs="Arial"/>
          <w:color w:val="000000"/>
          <w:kern w:val="2"/>
          <w:sz w:val="19"/>
          <w:szCs w:val="24"/>
        </w:rPr>
        <w:t>satisfacer</w:t>
      </w:r>
      <w:r>
        <w:rPr>
          <w:rFonts w:ascii="Arial" w:eastAsia="Times New Roman" w:hAnsi="Arial" w:cs="Arial"/>
          <w:color w:val="000000"/>
          <w:kern w:val="2"/>
          <w:sz w:val="19"/>
          <w:szCs w:val="24"/>
        </w:rPr>
        <w:t xml:space="preserve"> la garantía otorgada por la </w:t>
      </w:r>
      <w:r>
        <w:rPr>
          <w:rFonts w:ascii="Arial" w:eastAsia="Times New Roman" w:hAnsi="Arial" w:cs="Arial"/>
          <w:b/>
          <w:color w:val="000000"/>
          <w:kern w:val="2"/>
          <w:sz w:val="19"/>
          <w:szCs w:val="24"/>
        </w:rPr>
        <w:t xml:space="preserve">FIADORA </w:t>
      </w:r>
      <w:r>
        <w:rPr>
          <w:rFonts w:ascii="Arial" w:eastAsia="Times New Roman" w:hAnsi="Arial" w:cs="Arial"/>
          <w:color w:val="000000"/>
          <w:kern w:val="2"/>
          <w:sz w:val="19"/>
          <w:szCs w:val="24"/>
        </w:rPr>
        <w:t xml:space="preserve">surge una vez esté ejecutoriada la Resolución mediante la cual el Tribunal Administrativo de Contrataciones Públicas resuelva o ponga fin a la litis, ya sea por desición de fondo, desistimiento del a pretensión o declaratoria de caducidad, ordenándose el endoso de la presente garantía a favor del Tesoro Nacional; salvo que en dicha Resolución, el Tribunal determine que la actuación del </w:t>
      </w:r>
      <w:r>
        <w:rPr>
          <w:rFonts w:ascii="Arial" w:eastAsia="Times New Roman" w:hAnsi="Arial" w:cs="Arial"/>
          <w:b/>
          <w:color w:val="000000"/>
          <w:kern w:val="2"/>
          <w:sz w:val="19"/>
          <w:szCs w:val="24"/>
        </w:rPr>
        <w:t xml:space="preserve">FIADO </w:t>
      </w:r>
      <w:r>
        <w:rPr>
          <w:rFonts w:ascii="Arial" w:eastAsia="Times New Roman" w:hAnsi="Arial" w:cs="Arial"/>
          <w:color w:val="000000"/>
          <w:kern w:val="2"/>
          <w:sz w:val="19"/>
          <w:szCs w:val="24"/>
        </w:rPr>
        <w:t>(RECURRENTE) no fue de mala fe ni temeraria.</w:t>
      </w:r>
    </w:p>
    <w:p w14:paraId="310819B3" w14:textId="77777777" w:rsidR="00DE3F55" w:rsidRDefault="00DE3F55">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1ECEB2E2" w14:textId="77777777" w:rsidR="00DE3F55" w:rsidRDefault="006F4F32">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b/>
          <w:color w:val="000000"/>
          <w:kern w:val="2"/>
          <w:sz w:val="19"/>
          <w:szCs w:val="24"/>
          <w:u w:val="single"/>
        </w:rPr>
        <w:t>TITULARIDAD DE DERECHOS:</w:t>
      </w:r>
      <w:r>
        <w:rPr>
          <w:rFonts w:ascii="Arial" w:eastAsia="Times New Roman" w:hAnsi="Arial" w:cs="Arial"/>
          <w:color w:val="000000"/>
          <w:kern w:val="2"/>
          <w:sz w:val="19"/>
          <w:szCs w:val="24"/>
        </w:rPr>
        <w:t xml:space="preserve"> Los derechos contra la </w:t>
      </w:r>
      <w:r>
        <w:rPr>
          <w:rFonts w:ascii="Arial" w:eastAsia="Times New Roman" w:hAnsi="Arial" w:cs="Arial"/>
          <w:b/>
          <w:color w:val="000000"/>
          <w:kern w:val="2"/>
          <w:sz w:val="19"/>
          <w:szCs w:val="24"/>
        </w:rPr>
        <w:t>FIADORA</w:t>
      </w:r>
      <w:r>
        <w:rPr>
          <w:rFonts w:ascii="Arial" w:eastAsia="Times New Roman" w:hAnsi="Arial" w:cs="Arial"/>
          <w:color w:val="000000"/>
          <w:kern w:val="2"/>
          <w:sz w:val="19"/>
          <w:szCs w:val="24"/>
        </w:rPr>
        <w:t xml:space="preserve"> por razón de la presente fianza se harán efectivo a favor del </w:t>
      </w:r>
      <w:r>
        <w:rPr>
          <w:rFonts w:ascii="Arial" w:eastAsia="Times New Roman" w:hAnsi="Arial" w:cs="Arial"/>
          <w:b/>
          <w:color w:val="000000"/>
          <w:kern w:val="2"/>
          <w:sz w:val="19"/>
          <w:szCs w:val="24"/>
        </w:rPr>
        <w:t>TESORO NACIONAL</w:t>
      </w:r>
      <w:r>
        <w:rPr>
          <w:rFonts w:ascii="Arial" w:eastAsia="Times New Roman" w:hAnsi="Arial" w:cs="Arial"/>
          <w:color w:val="000000"/>
          <w:kern w:val="2"/>
          <w:sz w:val="19"/>
          <w:szCs w:val="24"/>
        </w:rPr>
        <w:t>, previo endoso de Tribunal Administrativo de Contrataciones Públicas, a través de las instncias correspondientes.</w:t>
      </w:r>
    </w:p>
    <w:p w14:paraId="7AB14D2F" w14:textId="77777777" w:rsidR="00DE3F55" w:rsidRDefault="00DE3F55">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7EEAF00B" w14:textId="77777777" w:rsidR="00DE3F55" w:rsidRDefault="006F4F32">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b/>
          <w:color w:val="000000"/>
          <w:kern w:val="2"/>
          <w:sz w:val="19"/>
          <w:szCs w:val="24"/>
          <w:u w:val="single"/>
        </w:rPr>
        <w:t>DECLARACIÓN DE LA FIADORA Y/O BANCO:</w:t>
      </w:r>
      <w:r>
        <w:rPr>
          <w:rFonts w:ascii="Arial" w:eastAsia="Times New Roman" w:hAnsi="Arial" w:cs="Arial"/>
          <w:b/>
          <w:color w:val="000000"/>
          <w:kern w:val="2"/>
          <w:sz w:val="19"/>
          <w:szCs w:val="24"/>
        </w:rPr>
        <w:t xml:space="preserve"> </w:t>
      </w:r>
      <w:r>
        <w:rPr>
          <w:rFonts w:ascii="Arial" w:eastAsia="Times New Roman" w:hAnsi="Arial" w:cs="Arial"/>
          <w:color w:val="000000"/>
          <w:kern w:val="2"/>
          <w:sz w:val="19"/>
          <w:szCs w:val="24"/>
        </w:rPr>
        <w:t>Quien emite la presente garantía declara:</w:t>
      </w:r>
    </w:p>
    <w:p w14:paraId="1607CC76" w14:textId="77777777" w:rsidR="00DE3F55" w:rsidRDefault="006F4F32">
      <w:pPr>
        <w:framePr w:w="11271" w:h="8101" w:hRule="exact" w:wrap="auto" w:vAnchor="page" w:hAnchor="page" w:x="451"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ab/>
        <w:t>a)</w:t>
      </w:r>
      <w:r>
        <w:rPr>
          <w:rFonts w:ascii="Arial" w:eastAsia="Times New Roman" w:hAnsi="Arial" w:cs="Arial"/>
          <w:color w:val="000000"/>
          <w:kern w:val="2"/>
          <w:sz w:val="19"/>
          <w:szCs w:val="24"/>
        </w:rPr>
        <w:tab/>
        <w:t xml:space="preserve">Que posee la suficiente solvencia económica para garantizar el cumplimiento de la obligación contraida en nombre del </w:t>
      </w:r>
      <w:r>
        <w:rPr>
          <w:rFonts w:ascii="Arial" w:eastAsia="Times New Roman" w:hAnsi="Arial" w:cs="Arial"/>
          <w:color w:val="000000"/>
          <w:kern w:val="2"/>
          <w:sz w:val="19"/>
          <w:szCs w:val="24"/>
        </w:rPr>
        <w:tab/>
      </w:r>
      <w:r>
        <w:rPr>
          <w:rFonts w:ascii="Arial" w:eastAsia="Times New Roman" w:hAnsi="Arial" w:cs="Arial"/>
          <w:color w:val="000000"/>
          <w:kern w:val="2"/>
          <w:sz w:val="19"/>
          <w:szCs w:val="24"/>
        </w:rPr>
        <w:tab/>
        <w:t>FIADO.</w:t>
      </w:r>
    </w:p>
    <w:p w14:paraId="443B8516" w14:textId="77777777" w:rsidR="00DE3F55" w:rsidRDefault="006F4F32">
      <w:pPr>
        <w:framePr w:w="11271" w:h="8101" w:hRule="exact" w:wrap="auto" w:vAnchor="page" w:hAnchor="page" w:x="451" w:y="3437"/>
        <w:widowControl w:val="0"/>
        <w:tabs>
          <w:tab w:val="left" w:pos="360"/>
          <w:tab w:val="left" w:pos="391"/>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632"/>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ab/>
        <w:t>b)</w:t>
      </w:r>
      <w:r>
        <w:rPr>
          <w:rFonts w:ascii="Arial" w:eastAsia="Times New Roman" w:hAnsi="Arial" w:cs="Arial"/>
          <w:color w:val="000000"/>
          <w:kern w:val="2"/>
          <w:sz w:val="19"/>
          <w:szCs w:val="24"/>
        </w:rPr>
        <w:tab/>
        <w:t xml:space="preserve">Que conoce el trámite del proceso Administrativo de impugnación ante el Tribunal Administrativo de Contrataciones Públicas y sus </w:t>
      </w:r>
      <w:r>
        <w:rPr>
          <w:rFonts w:ascii="Arial" w:eastAsia="Times New Roman" w:hAnsi="Arial" w:cs="Arial"/>
          <w:color w:val="000000"/>
          <w:kern w:val="2"/>
          <w:sz w:val="19"/>
          <w:szCs w:val="24"/>
        </w:rPr>
        <w:tab/>
        <w:t>consecuencias, de acuerdo a lo preceptuado por la Ley N° 22 de 27  de Junio de 2006, reglamentada por el Decreto Ejecutivo N° 366 de 28 de Diciembre de 2006, emitido por el Tribunal Administrativo de Contrataciones Públicas.</w:t>
      </w:r>
    </w:p>
    <w:p w14:paraId="3A6D7C00" w14:textId="77777777" w:rsidR="00DE3F55" w:rsidRDefault="006F4F32">
      <w:pPr>
        <w:framePr w:w="11271" w:h="8101" w:hRule="exact" w:wrap="auto" w:vAnchor="page" w:hAnchor="page" w:x="451" w:y="3437"/>
        <w:widowControl w:val="0"/>
        <w:tabs>
          <w:tab w:val="left" w:pos="360"/>
          <w:tab w:val="left" w:pos="391"/>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632"/>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ab/>
        <w:t>c)</w:t>
      </w:r>
      <w:r>
        <w:rPr>
          <w:rFonts w:ascii="Arial" w:eastAsia="Times New Roman" w:hAnsi="Arial" w:cs="Arial"/>
          <w:color w:val="000000"/>
          <w:kern w:val="2"/>
          <w:sz w:val="19"/>
          <w:szCs w:val="24"/>
        </w:rPr>
        <w:tab/>
        <w:t>Que la presente garantía es de carácter irrevocable, salvo a ésta sea debidamente sustituida, previa aprobación del Tribunal Administrativo de Contrataciones Públicas.</w:t>
      </w:r>
    </w:p>
    <w:p w14:paraId="153AF221" w14:textId="77777777" w:rsidR="00DE3F55" w:rsidRDefault="006F4F32">
      <w:pPr>
        <w:framePr w:w="11271" w:h="8101" w:hRule="exact" w:wrap="auto" w:vAnchor="page" w:hAnchor="page" w:x="451" w:y="3437"/>
        <w:widowControl w:val="0"/>
        <w:tabs>
          <w:tab w:val="left" w:pos="360"/>
          <w:tab w:val="left" w:pos="391"/>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632"/>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ab/>
        <w:t>d)</w:t>
      </w:r>
      <w:r>
        <w:rPr>
          <w:rFonts w:ascii="Arial" w:eastAsia="Times New Roman" w:hAnsi="Arial" w:cs="Arial"/>
          <w:color w:val="000000"/>
          <w:kern w:val="2"/>
          <w:sz w:val="19"/>
          <w:szCs w:val="24"/>
        </w:rPr>
        <w:tab/>
        <w:t>Que acepta y expresa estar obligada al pago total de la suma garantizada como límite máximo de responsabilidad, conforme a lo ordenado por el  Tribunal Administrativo de Contrataciones Públicas mediante resolución, que será notificada a través del sistema Electrónico de Contrataciones Públicas "PanamáCompra" y que se fijará en el tablero de anuncios del Tribunal.</w:t>
      </w:r>
    </w:p>
    <w:p w14:paraId="1167A592" w14:textId="77777777" w:rsidR="00DE3F55" w:rsidRDefault="006F4F32">
      <w:pPr>
        <w:framePr w:w="11271" w:h="8101" w:hRule="exact" w:wrap="auto" w:vAnchor="page" w:hAnchor="page" w:x="451" w:y="3437"/>
        <w:widowControl w:val="0"/>
        <w:tabs>
          <w:tab w:val="left" w:pos="360"/>
          <w:tab w:val="left" w:pos="391"/>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632"/>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ab/>
        <w:t>e)</w:t>
      </w:r>
      <w:r>
        <w:rPr>
          <w:rFonts w:ascii="Arial" w:eastAsia="Times New Roman" w:hAnsi="Arial" w:cs="Arial"/>
          <w:color w:val="000000"/>
          <w:kern w:val="2"/>
          <w:sz w:val="19"/>
          <w:szCs w:val="24"/>
        </w:rPr>
        <w:tab/>
        <w:t>Que reconoce y acepta que la resolución por la cual el Tribunal Administrativo de Contrataciones Públicas resuelva o ponga fin a la litis es irrecurrible y que con la misma se agota a la vía gubernativa.</w:t>
      </w:r>
    </w:p>
    <w:p w14:paraId="504793C0" w14:textId="77777777" w:rsidR="00DE3F55" w:rsidRDefault="006F4F32">
      <w:pPr>
        <w:framePr w:w="11355" w:h="221" w:hRule="exact" w:wrap="auto" w:vAnchor="page" w:hAnchor="page" w:x="429" w:y="1348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(Texto aprobado por la Dirección General de Contrataciones Públicas, de conformidad con la Resolución No.30 de 19 de Diciembre de 2007)</w:t>
      </w:r>
    </w:p>
    <w:sectPr w:rsidR="00DE3F55">
      <w:headerReference w:type="even" r:id="rId6"/>
      <w:headerReference w:type="default" r:id="rId7"/>
      <w:footerReference w:type="even" r:id="rId8"/>
      <w:footerReference w:type="default" r:id="rId9"/>
      <w:headerReference w:type="first" r:id="rId10"/>
      <w:footerReference w:type="first" r:id="rId11"/>
      <w:type w:val="continuous"/>
      <w:pgSz w:w="12242" w:h="15842"/>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CC282" w14:textId="77777777" w:rsidR="000370D1" w:rsidRDefault="000370D1">
      <w:pPr>
        <w:spacing w:after="0" w:line="240" w:lineRule="auto"/>
      </w:pPr>
      <w:r>
        <w:separator/>
      </w:r>
    </w:p>
  </w:endnote>
  <w:endnote w:type="continuationSeparator" w:id="0">
    <w:p w14:paraId="2E90ADC3" w14:textId="77777777" w:rsidR="000370D1" w:rsidRDefault="00037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332FA" w14:textId="77777777" w:rsidR="00DE3F55" w:rsidRDefault="00DE3F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42FC0" w14:textId="77777777" w:rsidR="00DE3F55" w:rsidRDefault="00DE3F5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8009" w14:textId="77777777" w:rsidR="00DE3F55" w:rsidRDefault="00DE3F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0AE62" w14:textId="77777777" w:rsidR="000370D1" w:rsidRDefault="000370D1">
      <w:pPr>
        <w:spacing w:after="0" w:line="240" w:lineRule="auto"/>
      </w:pPr>
      <w:r>
        <w:separator/>
      </w:r>
    </w:p>
  </w:footnote>
  <w:footnote w:type="continuationSeparator" w:id="0">
    <w:p w14:paraId="7F9A22AF" w14:textId="77777777" w:rsidR="000370D1" w:rsidRDefault="00037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045DD" w14:textId="77777777" w:rsidR="00DE3F55" w:rsidRDefault="00DE3F5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8F1E0" w14:textId="77777777" w:rsidR="00DE3F55" w:rsidRDefault="00DE3F5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292B2" w14:textId="77777777" w:rsidR="00DE3F55" w:rsidRDefault="00DE3F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4F32"/>
    <w:rsid w:val="000370D1"/>
    <w:rsid w:val="000814EB"/>
    <w:rsid w:val="0031553E"/>
    <w:rsid w:val="004E6272"/>
    <w:rsid w:val="006F4F32"/>
    <w:rsid w:val="009732CB"/>
    <w:rsid w:val="00AC7D37"/>
    <w:rsid w:val="00AF671C"/>
    <w:rsid w:val="00BD228B"/>
    <w:rsid w:val="00DE3F55"/>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7C8B9A50"/>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554</Words>
  <Characters>3050</Characters>
  <Application>Microsoft Office Word</Application>
  <DocSecurity>0</DocSecurity>
  <Lines>25</Lines>
  <Paragraphs>7</Paragraphs>
  <ScaleCrop>false</ScaleCrop>
  <Company>Crystal Decisions</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7</cp:revision>
  <dcterms:created xsi:type="dcterms:W3CDTF">2026-09-08T21:02:00Z</dcterms:created>
  <dcterms:modified xsi:type="dcterms:W3CDTF">2026-09-17T14:25:00Z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01734361CD07C3C85B968AA4B2781C480C131A4BF1DCCE0484255B1E26629C81B52F8CFCC3D3F1E21695AB886E2B632E75747CB8D9898B794EB3A723CE67760DAA0475106215B111C330C214AE7620666DCEC14ACC44FD3E2A27FD12702872FCB210FC20CFB934DE09602A8F043D1BFBA0980EEEC7A910DC7ADC42B4987B98A</vt:lpwstr>
  </property>
  <property fmtid="{D5CDD505-2E9C-101B-9397-08002B2CF9AE}" pid="3" name="Business Objects Context Information1">
    <vt:lpwstr>726D952EFCBCE1DA5022CEB836ADC6165D0FC0EEAA4B35C54014F6693763ED58257CF401F7FAAFFB1DEEEBB6F805794062BC634F18066590D569BE1409D3DA201E9AAE94A5B8EABE0F22D492FBB6E2E1EB4DC8811135DFB83DE6AC0AC9258C1528884D752C0A43F6AA09CB217A1CC976860</vt:lpwstr>
  </property>
</Properties>
</file>