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103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en Cosechas, Bosques y Cultivos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 o  indirectamente  causados  en  cosechas,  bosques  y/o  cultivos  durante  la eje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 o  indirectamente  causados  en  cosechas,  bosques  y/o  cultivos  durante  la eje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 o  indirectamente  causados  en  cosechas,  bosques  y/o  cultivos  durante  la eje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 o  indirectamente  causados  en  cosechas,  bosques  y/o  cultivos  durante  la eje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 o  indirectamente  causados  en  cosechas,  bosques  y/o  cultivos  durante  la eje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103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en Cosechas, Bosques y Cultivos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103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en Cosechas, Bosques y Cultivos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103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en Cosechas, Bosques y Cultivos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103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en Cosechas, Bosques y Cultivos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103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en Cosechas, Bosques y Cultivos</w:t>
      </w: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 ella  endosados,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en  cosechas,  bosques  y/o  cultivos  durante 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2700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2700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C27009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BOCAS GENERATION COMPANY INC.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C27009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6"/>
      <w:footerReference w:type="default" r:id="rIdRFFooter6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C2700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C2700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C2700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C2700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C2700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C2700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C27009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001434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C27009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001434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C27009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001434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C27009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001434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C27009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001434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C27009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001434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27009"/>
    <w:rsid w:val="00C2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0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2097</Words>
  <Characters>11538</Characters>
  <Application>Microsoft Office Word</Application>
  <DocSecurity>4</DocSecurity>
  <Lines>96</Lines>
  <Paragraphs>27</Paragraphs>
  <ScaleCrop>false</ScaleCrop>
  <Company>Crystal Decisions</Company>
  <LinksUpToDate>false</LinksUpToDate>
  <CharactersWithSpaces>13608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01734361CD07C3C85B968AA4B2781C480C131A4BF1DCCE0484255B1E26629C81B52F8CFCC3D3F1E21695AB886E2B632E75747CB8D9898B794EB3A723CE67760DAA12BDD7607A912E77970B4FBA356D42066B82F12726A6A31967663CCBBCD06C1D61456AD3B1F5337CFCFE7E59DA958715493829FD2ADA2271A07707A91D493</vt:lpwstr>
  </property>
  <property fmtid="{D5CDD505-2E9C-101B-9397-08002B2CF9AE}" pid="3" name="Business Objects Context Information1">
    <vt:lpwstr>ACC958B2BAB68298C96AE7489DFB5E733CAA6CC31B3FDC5CB09A848D2630E8527617365F3A7A4120881BF79247B1FD2508BFFF14F7394664843B13CE3EFDD8A3AECBC29B18F0DE4204C5E694ED51B664D9EA809DEB6BF1EF14408FBF5EFC1164806</vt:lpwstr>
  </property>
</Properties>
</file>