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exclusiones,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educible: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Costo de reemplazo,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del monto de la perdida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del monto de la perdida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usulas y condiciones contenidos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d.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ble: {custom.EDS115_66_1}% del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</w:t>
      </w: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2.c bajo la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5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se suprime y la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2.d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sustituida por el siguiente texto: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 Costo de reemplazo,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subsanaci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partes a consecuencia de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sin embargo, esta exclusi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bienes inmediatamente afectados y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partes impecablemente ejecutadas a consecuencia de un evento accidental  debido a vicios de material, mano de obra defectuosa y/o errores en el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lculo 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”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ximo a indemnizar: {custom.EDS115_66_2}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{custom.EDS115_66_1}%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monto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de {custom.EDS115_66_3}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86A0A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86A0A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86A0A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CONSORCIO C&amp;T PUENTES MODULARES (</w:t>
            </w: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CONFORMADO POR: CONSTRUCTORA URBANA, S.A. Y TORONTO GLOBAL HOLDINGS CORP)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86A0A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86A0A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:rsidR="00000000" w:rsidRDefault="00986A0A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86A0A"/>
    <w:rsid w:val="0098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4274</Words>
  <Characters>23508</Characters>
  <Application>Microsoft Office Word</Application>
  <DocSecurity>4</DocSecurity>
  <Lines>195</Lines>
  <Paragraphs>55</Paragraphs>
  <ScaleCrop>false</ScaleCrop>
  <Company>Crystal Decisions</Company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EF92AB06850F8E9C25699137DE293054A1B2D052E06E1BCCDD922CA2DC819AC532B01BE5E99CE821B1D6B1DA2CC8080B19F08A591D5796EC7C3C2CC6B4D568605498541920D4DCD7392F7E13AAD1364644418DD875C9A68784B7774C91BB930AF8A</vt:lpwstr>
  </property>
</Properties>
</file>