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AXX1977.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120" w:line="240" w:lineRule="auto"/>
        <w:jc w:val="center"/>
        <w:widowControl/>
      </w:pPr>
      <w:r>
        <w:rPr>
          <w:rFonts w:ascii="Arial" w:hAnsi="Arial"/>
          <w:b/>
          <w:sz w:val="27"/>
          <w:szCs w:val="27"/>
        </w:rPr>
        <w:t xml:space="preserve">FIANZA DE CUMPLIMIENTO</w:t>
      </w:r>
    </w:p>
    <w:tbl>
      <w:tblPr>
        <w:tblW w:w="11280" w:type="dxa"/>
        <w:tblLayout w:type="fixed"/>
        <w:tblBorders>
          <w:top w:val="single" w:sz="6"/>
          <w:left w:val="single" w:sz="6"/>
          <w:bottom w:val="single" w:sz="6"/>
          <w:right w:val="single" w:sz="6"/>
          <w:insideH w:val="nil"/>
          <w:insideV w:val="nil"/>
        </w:tblBorders>
        <w:tblCellMar>
          <w:top w:w="70" w:type="dxa"/>
          <w:left w:w="100" w:type="dxa"/>
          <w:bottom w:w="50" w:type="dxa"/>
          <w:right w:w="100" w:type="dxa"/>
        </w:tblCellMar>
        <w:tblInd w:w="100" w:type="dxa"/>
      </w:tblPr>
      <w:tblGrid>
        <w:gridCol w:w="3500"/>
        <w:gridCol w:w="7780"/>
      </w:tblGrid>
      <w:tr>
        <w:tc>
          <w:tcPr>
            <w:tcW w:w="3500" w:type="dxa"/>
            <w:vAlign w:val="top"/>
          </w:tcPr>
          <w:p>
            <w:pPr>
              <w:spacing w:before="0" w:after="30" w:line="240" w:lineRule="auto"/>
              <w:jc w:val="left"/>
              <w:widowControl/>
            </w:pPr>
            <w:r>
              <w:rPr>
                <w:rFonts w:ascii="Arial" w:hAnsi="Arial"/>
                <w:sz w:val="16"/>
                <w:szCs w:val="16"/>
              </w:rPr>
              <w:t xml:space="preserve">DENOMINACIÓN:</w:t>
            </w:r>
          </w:p>
        </w:tc>
        <w:tc>
          <w:tcPr>
            <w:tcW w:w="7780" w:type="dxa"/>
            <w:vAlign w:val="top"/>
          </w:tcPr>
          <w:p>
            <w:pPr>
              <w:spacing w:before="0" w:after="30" w:line="240" w:lineRule="auto"/>
              <w:jc w:val="left"/>
              <w:widowControl/>
            </w:pPr>
            <w:r>
              <w:rPr>
                <w:rFonts w:ascii="Arial" w:hAnsi="Arial"/>
                <w:b/>
                <w:sz w:val="16"/>
                <w:szCs w:val="16"/>
              </w:rPr>
              <w:t xml:space="preserve">FIANZA DE CUMPLIMIENTO</w:t>
            </w:r>
          </w:p>
        </w:tc>
      </w:tr>
      <w:tr>
        <w:tc>
          <w:tcPr>
            <w:tcW w:w="3500" w:type="dxa"/>
            <w:vAlign w:val="top"/>
          </w:tcPr>
          <w:p>
            <w:pPr>
              <w:spacing w:before="0" w:after="30" w:line="240" w:lineRule="auto"/>
              <w:jc w:val="left"/>
              <w:widowControl/>
            </w:pPr>
            <w:r>
              <w:rPr>
                <w:rFonts w:ascii="Arial" w:hAnsi="Arial"/>
                <w:sz w:val="16"/>
                <w:szCs w:val="16"/>
              </w:rPr>
              <w:t xml:space="preserve">FIADORA:</w:t>
            </w:r>
          </w:p>
        </w:tc>
        <w:tc>
          <w:tcPr>
            <w:tcW w:w="7780" w:type="dxa"/>
            <w:vAlign w:val="top"/>
          </w:tcPr>
          <w:p>
            <w:pPr>
              <w:spacing w:before="0" w:after="30" w:line="240" w:lineRule="auto"/>
              <w:jc w:val="left"/>
              <w:widowControl/>
            </w:pPr>
            <w:r>
              <w:rPr>
                <w:rFonts w:ascii="Arial" w:hAnsi="Arial"/>
                <w:b/>
                <w:sz w:val="16"/>
                <w:szCs w:val="16"/>
              </w:rPr>
              <w:t xml:space="preserve">ASEGURADORA GLOBAL, S.A.</w:t>
            </w:r>
          </w:p>
        </w:tc>
      </w:tr>
      <w:tr>
        <w:tc>
          <w:tcPr>
            <w:tcW w:w="3500" w:type="dxa"/>
            <w:vAlign w:val="top"/>
          </w:tcPr>
          <w:p>
            <w:pPr>
              <w:spacing w:before="0" w:after="30" w:line="240" w:lineRule="auto"/>
              <w:jc w:val="left"/>
              <w:widowControl/>
            </w:pPr>
            <w:r>
              <w:rPr>
                <w:rFonts w:ascii="Arial" w:hAnsi="Arial"/>
                <w:sz w:val="16"/>
                <w:szCs w:val="16"/>
              </w:rPr>
              <w:t xml:space="preserve">NÚMERO DE FIANZA:</w:t>
            </w:r>
          </w:p>
        </w:tc>
        <w:tc>
          <w:tcPr>
            <w:tcW w:w="7780" w:type="dxa"/>
            <w:vAlign w:val="top"/>
          </w:tcPr>
          <w:p>
            <w:pPr>
              <w:spacing w:before="0" w:after="30" w:line="240" w:lineRule="auto"/>
              <w:jc w:val="left"/>
              <w:widowControl/>
            </w:pPr>
            <w:r>
              <w:rPr>
                <w:rFonts w:ascii="Arial" w:hAnsi="Arial"/>
                <w:b/>
                <w:sz w:val="16"/>
                <w:szCs w:val="16"/>
              </w:rPr>
              <w:t xml:space="preserve">{custom.NumeroFianza}</w:t>
            </w:r>
          </w:p>
        </w:tc>
      </w:tr>
      <w:tr>
        <w:tc>
          <w:tcPr>
            <w:tcW w:w="3500" w:type="dxa"/>
            <w:vAlign w:val="top"/>
          </w:tcPr>
          <w:p>
            <w:pPr>
              <w:spacing w:before="0" w:after="30" w:line="240" w:lineRule="auto"/>
              <w:jc w:val="left"/>
              <w:widowControl/>
            </w:pPr>
            <w:r>
              <w:rPr>
                <w:rFonts w:ascii="Arial" w:hAnsi="Arial"/>
                <w:sz w:val="16"/>
                <w:szCs w:val="16"/>
              </w:rPr>
              <w:t xml:space="preserve">CONTRATISTA:</w:t>
            </w:r>
          </w:p>
        </w:tc>
        <w:tc>
          <w:tcPr>
            <w:tcW w:w="7780" w:type="dxa"/>
            <w:vAlign w:val="top"/>
          </w:tcPr>
          <w:p>
            <w:pPr>
              <w:spacing w:before="0" w:after="30" w:line="240" w:lineRule="auto"/>
              <w:jc w:val="left"/>
              <w:widowControl/>
            </w:pPr>
            <w:r>
              <w:rPr>
                <w:rFonts w:ascii="Arial" w:hAnsi="Arial"/>
                <w:b/>
                <w:sz w:val="16"/>
                <w:szCs w:val="16"/>
              </w:rPr>
              <w:t xml:space="preserve">{custom.Tenedor}</w:t>
            </w:r>
          </w:p>
        </w:tc>
      </w:tr>
      <w:tr>
        <w:tc>
          <w:tcPr>
            <w:tcW w:w="3500" w:type="dxa"/>
            <w:vAlign w:val="top"/>
          </w:tcPr>
          <w:p>
            <w:pPr>
              <w:spacing w:before="0" w:after="30" w:line="240" w:lineRule="auto"/>
              <w:jc w:val="left"/>
              <w:widowControl/>
            </w:pPr>
            <w:r>
              <w:rPr>
                <w:rFonts w:ascii="Arial" w:hAnsi="Arial"/>
                <w:sz w:val="16"/>
                <w:szCs w:val="16"/>
              </w:rPr>
              <w:t xml:space="preserve">LÍMITE MÁXIMO DE RESPONSABILIDAD:</w:t>
            </w:r>
          </w:p>
        </w:tc>
        <w:tc>
          <w:tcPr>
            <w:tcW w:w="7780" w:type="dxa"/>
            <w:vAlign w:val="top"/>
          </w:tcPr>
          <w:p>
            <w:pPr>
              <w:spacing w:before="0" w:after="30" w:line="240" w:lineRule="auto"/>
              <w:jc w:val="left"/>
              <w:widowControl/>
            </w:pPr>
            <w:r>
              <w:rPr>
                <w:rFonts w:ascii="Arial" w:hAnsi="Arial"/>
                <w:b/>
                <w:sz w:val="16"/>
                <w:szCs w:val="16"/>
              </w:rPr>
              <w:t xml:space="preserve">{custom.SumaTextoTotal}</w:t>
            </w:r>
          </w:p>
        </w:tc>
      </w:tr>
      <w:tr>
        <w:tc>
          <w:tcPr>
            <w:tcW w:w="3500" w:type="dxa"/>
            <w:vAlign w:val="top"/>
          </w:tcPr>
          <w:p>
            <w:pPr>
              <w:spacing w:before="0" w:after="30" w:line="240" w:lineRule="auto"/>
              <w:jc w:val="left"/>
              <w:widowControl/>
            </w:pPr>
            <w:r>
              <w:rPr>
                <w:rFonts w:ascii="Arial" w:hAnsi="Arial"/>
                <w:sz w:val="16"/>
                <w:szCs w:val="16"/>
              </w:rPr>
              <w:t xml:space="preserve">ENTIDAD ESTATAL BENEFICIARIA:</w:t>
            </w:r>
          </w:p>
        </w:tc>
        <w:tc>
          <w:tcPr>
            <w:tcW w:w="7780" w:type="dxa"/>
            <w:vAlign w:val="top"/>
          </w:tcPr>
          <w:p>
            <w:pPr>
              <w:spacing w:before="0" w:after="30" w:line="240" w:lineRule="auto"/>
              <w:jc w:val="left"/>
              <w:widowControl/>
            </w:pPr>
            <w:r>
              <w:rPr>
                <w:rFonts w:ascii="Arial" w:hAnsi="Arial"/>
                <w:b/>
                <w:sz w:val="16"/>
                <w:szCs w:val="16"/>
              </w:rPr>
              <w:t xml:space="preserve">{custom.AFavor} / CONTRALORÍA GENERAL DE LA REPÚBLICA</w:t>
            </w:r>
          </w:p>
        </w:tc>
      </w:tr>
      <w:tr>
        <w:tc>
          <w:tcPr>
            <w:tcW w:w="3500" w:type="dxa"/>
            <w:vAlign w:val="top"/>
          </w:tcPr>
          <w:p>
            <w:pPr>
              <w:spacing w:before="0" w:after="30" w:line="240" w:lineRule="auto"/>
              <w:jc w:val="left"/>
              <w:widowControl/>
            </w:pPr>
            <w:r>
              <w:rPr>
                <w:rFonts w:ascii="Arial" w:hAnsi="Arial"/>
                <w:sz w:val="16"/>
                <w:szCs w:val="16"/>
              </w:rPr>
              <w:t xml:space="preserve">PARA GARANTIZAR LA EJECUCIÓN DEL OBJETO DEL CONTRATO:</w:t>
            </w:r>
          </w:p>
        </w:tc>
        <w:tc>
          <w:tcPr>
            <w:tcW w:w="7780" w:type="dxa"/>
            <w:vAlign w:val="top"/>
          </w:tcPr>
          <w:p>
            <w:pPr>
              <w:spacing w:before="0" w:after="30" w:line="240" w:lineRule="auto"/>
              <w:jc w:val="left"/>
              <w:widowControl/>
            </w:pPr>
            <w:r>
              <w:rPr>
                <w:rFonts w:ascii="Arial" w:hAnsi="Arial"/>
                <w:b/>
                <w:sz w:val="16"/>
                <w:szCs w:val="16"/>
              </w:rPr>
              <w:t xml:space="preserve">{custom.Descripcion}</w:t>
            </w:r>
          </w:p>
        </w:tc>
      </w:tr>
    </w:tbl>
    <w:p>
      <w:pPr>
        <w:spacing w:before="80" w:after="70" w:line="240" w:lineRule="auto"/>
        <w:jc w:val="both"/>
        <w:widowControl/>
      </w:pPr>
      <w:r>
        <w:rPr>
          <w:rFonts w:ascii="Arial" w:hAnsi="Arial"/>
          <w:sz w:val="16"/>
          <w:szCs w:val="16"/>
        </w:rPr>
        <w:t xml:space="preserve">Conste por el presente documento </w:t>
      </w:r>
      <w:r>
        <w:rPr>
          <w:rFonts w:ascii="Arial" w:hAnsi="Arial"/>
          <w:b/>
          <w:sz w:val="16"/>
          <w:szCs w:val="16"/>
        </w:rPr>
        <w:t xml:space="preserve">ASEGURADORA GLOBAL, S.A.</w:t>
      </w:r>
      <w:r>
        <w:rPr>
          <w:rFonts w:ascii="Arial" w:hAnsi="Arial"/>
          <w:sz w:val="16"/>
          <w:szCs w:val="16"/>
        </w:rPr>
        <w:t xml:space="preserve">, en adelante denominada </w:t>
      </w:r>
      <w:r>
        <w:rPr>
          <w:rFonts w:ascii="Arial" w:hAnsi="Arial"/>
          <w:b/>
          <w:sz w:val="16"/>
          <w:szCs w:val="16"/>
        </w:rPr>
        <w:t xml:space="preserve">LA FIADORA</w:t>
      </w:r>
      <w:r>
        <w:rPr>
          <w:rFonts w:ascii="Arial" w:hAnsi="Arial"/>
          <w:sz w:val="16"/>
          <w:szCs w:val="16"/>
        </w:rPr>
        <w:t xml:space="preserve">, por este medio garantiza a </w:t>
      </w:r>
      <w:r>
        <w:rPr>
          <w:rFonts w:ascii="Arial" w:hAnsi="Arial"/>
          <w:b/>
          <w:sz w:val="16"/>
          <w:szCs w:val="16"/>
        </w:rPr>
        <w:t xml:space="preserve">LA ENTIDAD ESTATAL</w:t>
      </w:r>
      <w:r>
        <w:rPr>
          <w:rFonts w:ascii="Arial" w:hAnsi="Arial"/>
          <w:sz w:val="16"/>
          <w:szCs w:val="16"/>
        </w:rPr>
        <w:t xml:space="preserve"> arriba indicada y a </w:t>
      </w:r>
      <w:r>
        <w:rPr>
          <w:rFonts w:ascii="Arial" w:hAnsi="Arial"/>
          <w:b/>
          <w:sz w:val="16"/>
          <w:szCs w:val="16"/>
        </w:rPr>
        <w:t xml:space="preserve">la CONTRALORÍA GENERAL DE LA REPÚBLICA</w:t>
      </w:r>
      <w:r>
        <w:rPr>
          <w:rFonts w:ascii="Arial" w:hAnsi="Arial"/>
          <w:sz w:val="16"/>
          <w:szCs w:val="16"/>
        </w:rPr>
        <w:t xml:space="preserve">, en adelante denominadas </w:t>
      </w:r>
      <w:r>
        <w:rPr>
          <w:rFonts w:ascii="Arial" w:hAnsi="Arial"/>
          <w:b/>
          <w:sz w:val="16"/>
          <w:szCs w:val="16"/>
        </w:rPr>
        <w:t xml:space="preserve">LA ENTIDAD ESTATAL BENEFICIARIA</w:t>
      </w:r>
      <w:r>
        <w:rPr>
          <w:rFonts w:ascii="Arial" w:hAnsi="Arial"/>
          <w:sz w:val="16"/>
          <w:szCs w:val="16"/>
        </w:rPr>
        <w:t xml:space="preserve">, la obligación de ejecutar fielmente el objeto de </w:t>
      </w:r>
      <w:r>
        <w:rPr>
          <w:rFonts w:ascii="Arial" w:hAnsi="Arial"/>
          <w:b/>
          <w:sz w:val="16"/>
          <w:szCs w:val="16"/>
        </w:rPr>
        <w:t xml:space="preserve">EL CONTRATO</w:t>
      </w:r>
      <w:r>
        <w:rPr>
          <w:rFonts w:ascii="Arial" w:hAnsi="Arial"/>
          <w:sz w:val="16"/>
          <w:szCs w:val="16"/>
        </w:rPr>
        <w:t xml:space="preserve"> antes enunciado, y una vez cumplido éste, de corregir los defectos a que hubiere lugar.</w:t>
      </w:r>
    </w:p>
    <w:p xmlns:w14="http://schemas.microsoft.com/office/word/2010/wordml" xmlns:w="http://schemas.openxmlformats.org/wordprocessingml/2006/main" w14:paraId="07757A54" w14:textId="4C187470"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VIGENCIA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w:t>
      </w:r>
      <w:r w:rsidR="00D4026D">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{custom.DiasVigencia}</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Días{custom.TipoDias}</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que comprende el periodo de ejecución del contrato principal, el término de la liquidación, más el plazo establecido por los vicios y defectos según el objeto del contrato, a partir de la fecha indicada en:</w:t>
      </w:r>
      <w:r>
        <w:rPr>
          <w:i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Orden de Proceder, referendo</w:t>
      </w:r>
      <w:r>
        <w:rPr>
          <w:i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o cumplida la condición a la cual se sujeta el contrato. Corresponde al periodo de ejecución del contrato principal, al término de liquidación pactada o, en su defecto, al termino establecido en la Ley, que corresponde a los dos (2) meses siguientes al vencimiento del plazo para la ejecución del contrato, más un término de un (1) año, si se tratare de bienes muebles, consultorías y servicios para responder por vicios redhibitorios, tales como mano de obra, material defectuoso o de inferior calidad que el adjudicado, o cualquier otro vicio o defecto en el objeto del contrato, salvo los bienes muebles consumibles que no tengan reglamentación especial, cuyos términos de cobertura serán de seis (6) meses, y por el término de tres (3) años, para responder por defectos de reconstrucción o construcción de la obra o bien inmueble. Vencidos estos términos y no habiendo responsabilidad, se cancelará la fianza.</w:t>
      </w:r>
    </w:p>
    <w:p xmlns:w14="http://schemas.microsoft.com/office/word/2010/wordml" xmlns:w="http://schemas.openxmlformats.org/wordprocessingml/2006/main" w14:paraId="40E2909A"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El termino para responder por los vicios redhibitorios o cualquier otro vicio o defectos en el objeto del contrato, así como por los defectos de reconstrucción o de construcción a los que se refiere el párrafo anterior empezará a contarse a partir de la fecha del acta de aceptación final en aquellos contratos en que la ley exija ésta o del cumplimiento del contrato en los demás casos. </w:t>
      </w:r>
    </w:p>
    <w:p xmlns:w14="http://schemas.microsoft.com/office/word/2010/wordml" xmlns:w="http://schemas.openxmlformats.org/wordprocessingml/2006/main" w14:paraId="4ED2449A"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En caso de una OBRA entregada, sustancialmente ejecutada, la fianza de cumplimento para responder por vicios redhibitorios y defectos de reconstrucción o de construcción, comenzará a regir a partir del recibo de la parte sustancial de la obra usada y ocupada por el Estado, y para el resto de la obra, a partir del acta de aceptación final. </w:t>
      </w:r>
    </w:p>
    <w:p xmlns:w14="http://schemas.microsoft.com/office/word/2010/wordml" xmlns:w="http://schemas.openxmlformats.org/wordprocessingml/2006/main" w14:paraId="298318BE"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En los demás casos en que el bien o servicio objeto del contrato sea entregado de forma parcial, la fianza de cumplimiento comenzará a regir para responder por vicios redhibitorios tales como mano de obra, material defectuoso o de inferior calidad que el adjudicado, o cualquier otro vicio o defecto en el objeto del contrato, a partir de la recepción de la parte del bien o servicio por la ENTIDAD ESTATAL BENEFICIARIA y, para el resto del bien o servicio, a partir del acta de aceptación final o del cumplimiento del contrato, según el caso. </w:t>
      </w:r>
    </w:p>
    <w:p xmlns:w14="http://schemas.microsoft.com/office/word/2010/wordml" xmlns:w="http://schemas.openxmlformats.org/wordprocessingml/2006/main" w14:paraId="61A12D5F"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OBJETO</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Esta fianza garantiza el cumplimiento del contrato u obligación de ejecutar fielmente su objeto y, una vez cumplido éste, corregir los defectos a que hubiere lugar.</w:t>
      </w:r>
    </w:p>
    <w:p xmlns:w14="http://schemas.microsoft.com/office/word/2010/wordml" xmlns:w="http://schemas.openxmlformats.org/wordprocessingml/2006/main" w14:paraId="365BAEEE"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NOTIFICACION DE INCUMPLIMIENTO</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Antes del vencimiento de la fianza,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ESTATAL BENEFICIARIA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notificará por escrito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y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del incumplimiento del contrato decretado mediante resolución motivada que resuelve administrativamente el contrato, que contenga las razones de dicho incumplimiento.</w:t>
      </w:r>
    </w:p>
    <w:p xmlns:w14="http://schemas.microsoft.com/office/word/2010/wordml" xmlns:w="http://schemas.openxmlformats.org/wordprocessingml/2006/main" w14:paraId="5F4BE76F"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dispondrá de un término de veinte (20) dias hábiles siguientes a la notificación de la resolución que resuelve administrativamente el contrato por incumplimiento para ejercer la opción de pagar el importe de la fianza, o de sustituir al contratista en todos sus derechos y obligaciones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CONTRATO</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y sus adendas, así como de cuaalquiera otra acción que la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ENTIDAD ESTATAL BENEFICIARIA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tuviera en contra del contratista, siempre que quien vaya a continuarlo por cuenta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y a cuenta y riesgo de esta, tenga la capacidad técnica y financiera, a juicio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CONTRATANTE</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y sea aprobado por esta.</w:t>
      </w:r>
    </w:p>
    <w:p xmlns:w14="http://schemas.microsoft.com/office/word/2010/wordml" xmlns:w="http://schemas.openxmlformats.org/wordprocessingml/2006/main" w14:paraId="0F22D095"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EXONERACION DE RESPONSABILIDAD: 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quedará exonerada de responsabilidad conforme a esta fianza en caso de que, producido cualquier incumplimiento por parte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EL CONTRATISTA; </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durante el periodo de ejecución del contrato principal,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ESTATAL BENEFICIARIA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no comunique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el inicio del trámite de resolución administrativa del contrato dentro de los cuarenta y cinco (45) días hábiles siguientes a la fecha en que tuvo conocimiento de dicho incumplimiento, dando una relación escrita de los hechos principales relacionados con éste. La notificación se efectuará por escrito a LA FIADORA en su domicilio legal.</w:t>
      </w:r>
    </w:p>
    <w:p xmlns:w14="http://schemas.microsoft.com/office/word/2010/wordml" xmlns:w="http://schemas.openxmlformats.org/wordprocessingml/2006/main" w14:paraId="6FE3E5F1"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SUSTITUCIÓN DEL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tiene derecho dentro de los veinte (20) días hábiles siguientes a la notificación de incumplimiento contenida en la Resolución Administrativa del Contrato u Orden de Compra, a pagar el importe de la fianza, o a sustituir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en todos sus derechos y obligaciones y sus adendas, así como cualquier otra acción que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CONTRATANTE</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tuviera en contra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siempre que quien vaya a continuarlo por cuenta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LA FIADORA </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y a cuenta y riesgo de esta, tenga la capacidad tecnica y financiera, a juicio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LA ENTIDAD CONTRATANTE, </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y sea aprobado por esta.</w:t>
      </w:r>
    </w:p>
    <w:p xmlns:w14="http://schemas.microsoft.com/office/word/2010/wordml" xmlns:w="http://schemas.openxmlformats.org/wordprocessingml/2006/main" w14:paraId="3C0CCB53"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En caso de que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opte por sustituir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en todos sus derechos y obligaciones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CONTRATO</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y sus adendas, así como cualquier otra acción que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CONTRATANTE</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tuviera en contra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deberá suscribir con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CONTRATANTE</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un acuerdo suplementario de ejecución de fianza de cumplimiento. El acuerdo suplementario de ejecución de fianza de cumplimiento no constituye una nueva relación contractual, sino el acto por medio del cual se formaliza la sustitución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en todos los derechos y obligaciones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dimanantes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CONTRATO</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y esta designa a un tercero ejecutor, que debe contar con capacidad técnica y financiera, a juicio de la entidad contratante y ser aprobado por esta, para que continúe la ejecución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CONTRATO</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por cuenta y riesgo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Dicho acuerdo deberá contar con el refrendo de la Contraloría General de la República.</w:t>
      </w:r>
    </w:p>
    <w:p xmlns:w14="http://schemas.microsoft.com/office/word/2010/wordml" xmlns:w="http://schemas.openxmlformats.org/wordprocessingml/2006/main" w14:paraId="4198A4A5"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SUBROGACIÓN</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En caso de que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cumpla con las obligaciones asumidas por ella conforme a esta fianza, ya fuere mediante el pago de los perjuicios pecuniarios o mediante la ejecución de las obligaciones garantizadas, subrogará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en todos los derechos y pertenencias dimanantes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CONTRATO</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incluyendo todos los valores e indemnizaciones, pagos diferidos, porcentajes retenidos y créditos que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ESTATAL BENEFICIARIA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le debiere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al tiempo en que tuvo lugar la falta o que debieran pagársele después, según las estipulaciones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CONTRATO</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En consecuencia, a partir del momento en que la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ENTIDAD ESTATAL BENEFICIARIA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presente una reclamación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quedarán sin efecto cualesquiera cesiones de pago de dinero derivadas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CONTRATO</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y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ESTATAL BENEFICIARIA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cesará todo pago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acreedores o cesionarios, los cuales a partir de ese momento aprovecharán exclusivamente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De igual manera,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se subrogará en cualesquiera otros derechos y acciones que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ESTATAL BENEFICIARIA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tuviere en contra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w:t>
      </w:r>
    </w:p>
    <w:p xmlns:w14="http://schemas.microsoft.com/office/word/2010/wordml" xmlns:w="http://schemas.openxmlformats.org/wordprocessingml/2006/main" w14:paraId="172BB0E1"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RECLAMACIONES DE VICIOS Y DEFECTOS: </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cuando se presenten vicios redhibitorios o cualquier otro vicio o defecto en el objeto de</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EL CONTRATO,</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así como defectos de reconstrucción o de construcción de la obra o bien inmueble,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ESTATAL BENEFICIARIA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deberá notificar por escrito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y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la existencia de los mismo, antes del vencimiento de la fianza para los mencionados vicios o defectos, a fin de que respondan por ellos.</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LA ENTIDAD CONTRATANTE</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deberá remitir inmediatamente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CONTRALORIA GENERAL DE LA REPUBLICA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copia de la nota mediante la cual se notificó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y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de la existencia de los vicios o defectos. Realizada la notificación, se entenderá presentando el reclamo de la fianza de cumplimiento para responder por los vicios o defectos, por parte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w:t>
      </w:r>
    </w:p>
    <w:p xmlns:w14="http://schemas.microsoft.com/office/word/2010/wordml" xmlns:w="http://schemas.openxmlformats.org/wordprocessingml/2006/main" w14:paraId="022D5633"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La notificación a la que se refiere el párrafo anterior deberá señalar cuales son los vicios redhibitorios o cualquier otro vicio o defecto detectado y la cuantía de los mismos. </w:t>
      </w:r>
    </w:p>
    <w:p xmlns:w14="http://schemas.microsoft.com/office/word/2010/wordml" xmlns:w="http://schemas.openxmlformats.org/wordprocessingml/2006/main" w14:paraId="32068485"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Posterior al recibo de la notificación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deberá, en un termino de veinte (20) días hábiles, pagar el importe de los vicios o defectos detectados y cuantificados, de conformidad con el limite de responsabilidad de la presente fianza.</w:t>
      </w:r>
    </w:p>
    <w:p xmlns:w14="http://schemas.microsoft.com/office/word/2010/wordml" xmlns:w="http://schemas.openxmlformats.org/wordprocessingml/2006/main" w14:paraId="3F16A66D"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Sin perjuicio de lo anterior, dentro del termino previamente indicado,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ESTATAL BENEFICIARIA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y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podrán acordar que esta ultima subsanara los vicios redhibitorios o cualquier otro vicio o defecto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CONTRATO</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a su cuenta y riesgo, designando para ellos a un tercero que tenga capacidad técnica y financiera a juicio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CONTRATANTE</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En este ultimo caso,</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LA FIADORA </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y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ENTIDAD CONTRATANTE</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suscribirán un acuerdo de subsanación, que deberá ser refrendado por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CONTRALORÍA GENERAL DE LA REPÚBLICA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con arreglo a lo previsto en el Reglamento de Fianzas dictado por dicha institución. </w:t>
      </w:r>
    </w:p>
    <w:p xmlns:w14="http://schemas.microsoft.com/office/word/2010/wordml" xmlns:w="http://schemas.openxmlformats.org/wordprocessingml/2006/main" w14:paraId="65ABDBFC"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ACCIONES LEGALES</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Toda reclamación con base en esta fianza deberá ser realizada por</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LA ENTIDAD ESTATAL BENEFICIARIA,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Para efectos de reclamación, también se entiende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LA CONTRALORÍA GENERAL DE LA REPÚBLICA </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como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ENTIDAD ESTATAL BENEFICIARIA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w:t>
      </w:r>
    </w:p>
    <w:p xmlns:w14="http://schemas.microsoft.com/office/word/2010/wordml" xmlns:w="http://schemas.openxmlformats.org/wordprocessingml/2006/main" w14:paraId="0D234D95"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Cualquier acción legal, ya sea judicial o extrajudicial que inicie</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LA ENTIDAD ESTATAL BENEFICIARIA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deberá entablarse contra</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conjuntamente con</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y la petición deberá solicitar en todo caso la condena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y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w:t>
      </w:r>
    </w:p>
    <w:p xmlns:w14="http://schemas.microsoft.com/office/word/2010/wordml" xmlns:w="http://schemas.openxmlformats.org/wordprocessingml/2006/main" w14:paraId="7EEDBB2A"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SUBORDINACIÓN</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estará obligada a cumplir las obligaciones que contrajo conforme a la presente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FIANZA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siempre que el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haya debido cumplirlas de acuerdo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CONTRATO</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w:t>
      </w:r>
    </w:p>
    <w:p xmlns:w14="http://schemas.microsoft.com/office/word/2010/wordml" xmlns:w="http://schemas.openxmlformats.org/wordprocessingml/2006/main" w14:paraId="7F1C110F"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PRÓRROGA O MODIFICACIÓN: LA ENTIDAD ESTATAL BENEFICIARIA </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notificará 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las prórrogas, adiciones o modificaciones a los Contratos u Órdenes de Compra.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manifestará su consentimiento mediante la emisión del endoso respectivo. En caso contrario,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deberá presentar una fianza que garantice la Prórroga o modificación del contrato.</w:t>
      </w:r>
    </w:p>
    <w:p xmlns:w14="http://schemas.microsoft.com/office/word/2010/wordml" xmlns:w="http://schemas.openxmlformats.org/wordprocessingml/2006/main" w14:paraId="66F0C7C4" w14:textId="77777777" w:rsidR="001D5CB0" w:rsidRDefault="0019529A">
      <w:pPr>
        <w:spacing xmlns:w="http://schemas.openxmlformats.org/wordprocessingml/2006/main" w:before="0" w:after="80" w:line="240" w:lineRule="auto"/>
        <w:jc xmlns:w="http://schemas.openxmlformats.org/wordprocessingml/2006/main" w:val="both"/>
        <w:widowControl xmlns:w="http://schemas.openxmlformats.org/wordprocessingml/2006/main"/>
      </w:pP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PRÓRROGA POR SUSTITUCIÓN DEL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Cuando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LA FIADORA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 asuma por intermedio de una persona idónea al efecto la ejecución de la obra, tendrá derecho a convenir prórrogas del término pactado, incluyendo, sin limitar la generalidad de lo anterior, demoras motivadas por fuerza mayor o casos fortuitos. Para este fin, se tomará en cuenta la demora normal por razón de la sustitución de </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EL CONTRATISTA</w:t>
      </w: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w:t>
      </w:r>
    </w:p>
    <w:p xmlns:w14="http://schemas.microsoft.com/office/word/2010/wordml" xmlns:w="http://schemas.openxmlformats.org/wordprocessingml/2006/main" w14:paraId="78168BA4" w14:textId="6BB9F3FE" w:rsidR="001D5CB0" w:rsidRDefault="0019529A">
      <w:pPr>
        <w:spacing xmlns:w="http://schemas.openxmlformats.org/wordprocessingml/2006/main" w:before="0" w:after="900" w:line="240" w:lineRule="auto"/>
        <w:jc xmlns:w="http://schemas.openxmlformats.org/wordprocessingml/2006/main" w:val="both"/>
        <w:widowControl xmlns:w="http://schemas.openxmlformats.org/wordprocessingml/2006/main"/>
      </w:pPr>
      <w:r>
        <w:rPr>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 xml:space="preserve">EN FE DE LO CUAL, se suscribe este Contrato en la Ciudad de Panamá, República de Panamá, a los </w:t>
      </w:r>
      <w:r w:rsidR="00F5181C">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{custom.FechaActualTextoMin}</w:t>
      </w:r>
      <w:r>
        <w:rPr>
          <w:b xmlns:w="http://schemas.openxmlformats.org/wordprocessingml/2006/main"/>
          <w:color xmlns:w="http://schemas.openxmlformats.org/wordprocessingml/2006/main" w:val="000000"/>
          <w:kern xmlns:w="http://schemas.openxmlformats.org/wordprocessingml/2006/main" w:val="2"/>
          <w:rFonts xmlns:w="http://schemas.openxmlformats.org/wordprocessingml/2006/main" w:ascii="Arial" w:hAnsi="Arial"/>
          <w:sz xmlns:w="http://schemas.openxmlformats.org/wordprocessingml/2006/main" w:val="16"/>
          <w:szCs xmlns:w="http://schemas.openxmlformats.org/wordprocessingml/2006/main" w:val="16"/>
        </w:rPr>
        <w:t>.</w:t>
      </w:r>
    </w:p>
    <w:tbl>
      <w:tblPr>
        <w:tblW w:w="11280" w:type="dxa"/>
        <w:tblLayout w:type="fixed"/>
        <w:tblBorders>
          <w:top w:val="nil" w:sz="6"/>
          <w:left w:val="nil" w:sz="6"/>
          <w:bottom w:val="nil" w:sz="6"/>
          <w:right w:val="nil" w:sz="6"/>
          <w:insideH w:val="nil"/>
          <w:insideV w:val="nil"/>
        </w:tblBorders>
        <w:tblCellMar>
          <w:top w:w="70" w:type="dxa"/>
          <w:left w:w="100" w:type="dxa"/>
          <w:bottom w:w="50" w:type="dxa"/>
          <w:right w:w="100" w:type="dxa"/>
        </w:tblCellMar>
      </w:tblPr>
      <w:tblGrid>
        <w:gridCol w:w="5640"/>
        <w:gridCol w:w="5640"/>
      </w:tblGrid>
      <w:tr>
        <w:tc>
          <w:tcPr>
            <w:tcW w:w="5640" w:type="dxa"/>
            <w:vAlign w:val="top"/>
          </w:tcPr>
          <w:p>
            <w:pPr>
              <w:spacing w:before="0" w:after="0" w:line="240" w:lineRule="auto"/>
              <w:jc w:val="center"/>
              <w:widowControl/>
            </w:pPr>
            <w:r>
              <w:rPr>
                <w:rFonts w:ascii="Arial" w:hAnsi="Arial"/>
                <w:b/>
                <w:sz w:val="16"/>
                <w:szCs w:val="16"/>
              </w:rPr>
              <w:t xml:space="preserve">POR LA FIADORA</w:t>
            </w:r>
          </w:p>
          <w:p>
            <w:pPr>
              <w:spacing w:before="0" w:after="100" w:line="240" w:lineRule="auto"/>
              <w:jc w:val="center"/>
              <w:widowControl/>
            </w:pPr>
            <w:r>
              <w:rPr>
                <w:rFonts w:ascii="Arial" w:hAnsi="Arial"/>
                <w:b/>
                <w:sz w:val="16"/>
                <w:szCs w:val="16"/>
              </w:rPr>
              <w:t xml:space="preserve">ASEGURADORA GLOBAL, S.A.</w:t>
            </w:r>
          </w:p>
        </w:tc>
        <w:tc>
          <w:tcPr>
            <w:tcW w:w="5640" w:type="dxa"/>
            <w:vAlign w:val="top"/>
          </w:tcPr>
          <w:p>
            <w:pPr>
              <w:spacing w:before="0" w:after="0" w:line="240" w:lineRule="auto"/>
              <w:jc w:val="center"/>
              <w:widowControl/>
            </w:pPr>
            <w:r>
              <w:rPr>
                <w:rFonts w:ascii="Arial" w:hAnsi="Arial"/>
                <w:b/>
                <w:sz w:val="16"/>
                <w:szCs w:val="16"/>
              </w:rPr>
              <w:t xml:space="preserve">POR EL CONTRATISTA</w:t>
            </w:r>
          </w:p>
          <w:p>
            <w:pPr>
              <w:spacing w:before="0" w:after="100" w:line="240" w:lineRule="auto"/>
              <w:jc w:val="center"/>
              <w:widowControl/>
            </w:pPr>
            <w:r>
              <w:rPr>
                <w:rFonts w:ascii="Arial" w:hAnsi="Arial"/>
                <w:b/>
                <w:sz w:val="16"/>
                <w:szCs w:val="16"/>
              </w:rPr>
              <w:t xml:space="preserve">{custom.Tenedor}</w:t>
            </w:r>
          </w:p>
        </w:tc>
      </w:tr>
      <w:tr>
        <w:tc>
          <w:tcPr>
            <w:tcW w:w="5640" w:type="dxa"/>
            <w:vAlign w:val="top"/>
          </w:tcPr>
          <w:p>
            <w:pPr>
              <w:spacing w:before="480" w:after="0" w:line="240" w:lineRule="auto"/>
              <w:jc w:val="left"/>
              <w:widowControl/>
            </w:pPr>
            <w:r>
              <w:rPr>
                <w:rFonts w:ascii="Arial" w:hAnsi="Arial"/>
                <w:sz w:val="16"/>
                <w:szCs w:val="16"/>
              </w:rPr>
              <w:t xml:space="preserve">_______________________________________</w:t>
            </w:r>
          </w:p>
        </w:tc>
        <w:tc>
          <w:tcPr>
            <w:tcW w:w="5640" w:type="dxa"/>
            <w:vAlign w:val="top"/>
          </w:tcPr>
          <w:p>
            <w:pPr>
              <w:spacing w:before="480" w:after="0" w:line="240" w:lineRule="auto"/>
              <w:jc w:val="left"/>
              <w:widowControl/>
            </w:pPr>
            <w:r>
              <w:rPr>
                <w:rFonts w:ascii="Arial" w:hAnsi="Arial"/>
                <w:sz w:val="16"/>
                <w:szCs w:val="16"/>
              </w:rPr>
              <w:t xml:space="preserve">_______________________________________</w:t>
            </w:r>
          </w:p>
        </w:tc>
      </w:tr>
      <w:tr>
        <w:tc>
          <w:tcPr>
            <w:tcW w:w="5640" w:type="dxa"/>
            <w:vAlign w:val="top"/>
          </w:tcPr>
          <w:p>
            <w:pPr>
              <w:spacing w:before="0" w:after="0" w:line="240" w:lineRule="auto"/>
              <w:jc w:val="left"/>
              <w:widowControl/>
            </w:pPr>
            <w:r>
              <w:rPr>
                <w:rFonts w:ascii="Arial" w:hAnsi="Arial"/>
                <w:sz w:val="16"/>
                <w:szCs w:val="16"/>
              </w:rPr>
              <w:t xml:space="preserve">NOMBRE:</w:t>
            </w:r>
          </w:p>
          <w:p>
            <w:pPr>
              <w:spacing w:before="0" w:after="0" w:line="240" w:lineRule="auto"/>
              <w:jc w:val="left"/>
              <w:widowControl/>
            </w:pPr>
            <w:r>
              <w:rPr>
                <w:rFonts w:ascii="Arial" w:hAnsi="Arial"/>
                <w:sz w:val="16"/>
                <w:szCs w:val="16"/>
              </w:rPr>
              <w:t xml:space="preserve">TÍTULO:</w:t>
            </w:r>
          </w:p>
        </w:tc>
        <w:tc>
          <w:tcPr>
            <w:tcW w:w="5640" w:type="dxa"/>
            <w:vAlign w:val="top"/>
          </w:tcPr>
          <w:p>
            <w:pPr>
              <w:spacing w:before="0" w:after="0" w:line="240" w:lineRule="auto"/>
              <w:jc w:val="left"/>
              <w:widowControl/>
            </w:pPr>
            <w:r>
              <w:rPr>
                <w:rFonts w:ascii="Arial" w:hAnsi="Arial"/>
                <w:sz w:val="16"/>
                <w:szCs w:val="16"/>
              </w:rPr>
              <w:t xml:space="preserve"/>
            </w:r>
          </w:p>
        </w:tc>
      </w:tr>
    </w:tbl>
    <w:p>
      <w:pPr>
        <w:spacing w:before="0" w:after="60" w:line="240" w:lineRule="auto"/>
        <w:jc w:val="left"/>
        <w:widowControl/>
      </w:pPr>
      <w:r>
        <w:rPr>
          <w:rFonts w:ascii="Arial" w:hAnsi="Arial"/>
          <w:sz w:val="16"/>
          <w:szCs w:val="16"/>
        </w:rPr>
        <w:t xml:space="preserve">(Texto aprobado por la Contraloría General de la República de conformidad con la Resolución Núm.2259-2023-LEG/FySE de 10 de agosto de 2023.)</w:t>
      </w:r>
    </w:p>
    <w:sectPr>
      <w:footerReference w:type="default" r:id="rIdAXX1977Footer"/>
      <w:footerReference w:type="even" r:id="rIdAXX1977Footer"/>
      <w:footerReference w:type="first" r:id="rIdAXX1977Footer"/>
      <w:pgSz w:w="12240" w:h="15840"/>
      <w:pgMar w:top="400" w:right="480" w:bottom="650" w:left="480" w:header="200" w:footer="280"/>
      <w:cols w:num="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79A495" w14:textId="77777777" w:rsidR="00D925D5" w:rsidRDefault="00D925D5">
      <w:pPr>
        <w:spacing w:after="0" w:line="240" w:lineRule="auto"/>
      </w:pPr>
      <w:r>
        <w:separator/>
      </w:r>
    </w:p>
  </w:endnote>
  <w:endnote w:type="continuationSeparator" w:id="0">
    <w:p w14:paraId="0C7C55ED" w14:textId="77777777" w:rsidR="00D925D5" w:rsidRDefault="00D925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E09CDF" w14:textId="77777777" w:rsidR="001D5CB0" w:rsidRDefault="001D5CB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A3AE3" w14:textId="77777777" w:rsidR="001D5CB0" w:rsidRDefault="001D5CB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35AD3" w14:textId="77777777" w:rsidR="001D5CB0" w:rsidRDefault="001D5CB0"/>
</w:ftr>
</file>

<file path=word/footerAXX1977.xml><?xml version="1.0" encoding="utf-8"?>
<w:ftr xmlns:w="http://schemas.openxmlformats.org/wordprocessingml/2006/main">
  <w:p>
    <w:pPr>
      <w:spacing w:before="0" w:after="0" w:line="240" w:lineRule="auto"/>
      <w:jc w:val="left"/>
      <w:widowControl/>
    </w:pPr>
    <w:r>
      <w:rPr>
        <w:rFonts w:ascii="Arial" w:hAnsi="Arial"/>
        <w:sz w:val="16"/>
        <w:szCs w:val="16"/>
      </w:rPr>
      <w:t xml:space="preserve">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E0C996" w14:textId="77777777" w:rsidR="00D925D5" w:rsidRDefault="00D925D5">
      <w:pPr>
        <w:spacing w:after="0" w:line="240" w:lineRule="auto"/>
      </w:pPr>
      <w:r>
        <w:separator/>
      </w:r>
    </w:p>
  </w:footnote>
  <w:footnote w:type="continuationSeparator" w:id="0">
    <w:p w14:paraId="3519DF4D" w14:textId="77777777" w:rsidR="00D925D5" w:rsidRDefault="00D925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2BA08" w14:textId="77777777" w:rsidR="001D5CB0" w:rsidRDefault="001D5CB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93772" w14:textId="77777777" w:rsidR="001D5CB0" w:rsidRDefault="001D5CB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FCC0A" w14:textId="77777777" w:rsidR="001D5CB0" w:rsidRDefault="001D5CB0"/>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9529A"/>
    <w:rsid w:val="000C786B"/>
    <w:rsid w:val="0019529A"/>
    <w:rsid w:val="001D5CB0"/>
    <w:rsid w:val="00C639D0"/>
    <w:rsid w:val="00D4026D"/>
    <w:rsid w:val="00D925D5"/>
    <w:rsid w:val="00F5181C"/>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64016534"/>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Relationships xmlns="http://schemas.openxmlformats.org/package/2006/relationships"><Relationship Id="rId8" Type="http://schemas.openxmlformats.org/officeDocument/2006/relationships/footer" Target="footer1.xml" /><Relationship Id="rId13" Type="http://schemas.openxmlformats.org/officeDocument/2006/relationships/theme" Target="theme/theme1.xml" /><Relationship Id="rId3" Type="http://schemas.openxmlformats.org/officeDocument/2006/relationships/webSettings" Target="webSettings.xml" /><Relationship Id="rId7" Type="http://schemas.openxmlformats.org/officeDocument/2006/relationships/header" Target="header2.xml" /><Relationship Id="rId12" Type="http://schemas.openxmlformats.org/officeDocument/2006/relationships/fontTable" Target="fontTable.xml"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header" Target="header1.xml" /><Relationship Id="rId11" Type="http://schemas.openxmlformats.org/officeDocument/2006/relationships/footer" Target="footer3.xml" /><Relationship Id="rId5" Type="http://schemas.openxmlformats.org/officeDocument/2006/relationships/endnotes" Target="endnotes.xml" /><Relationship Id="rId10" Type="http://schemas.openxmlformats.org/officeDocument/2006/relationships/header" Target="header3.xml" /><Relationship Id="rId4" Type="http://schemas.openxmlformats.org/officeDocument/2006/relationships/footnotes" Target="footnotes.xml" /><Relationship Id="rId9" Type="http://schemas.openxmlformats.org/officeDocument/2006/relationships/footer" Target="footer2.xml" /><Relationship Id="rIdAXX1977Footer" Type="http://schemas.openxmlformats.org/officeDocument/2006/relationships/footer" Target="footerAXX1977.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1816</Words>
  <Characters>9989</Characters>
  <Application>Microsoft Office Word</Application>
  <DocSecurity>0</DocSecurity>
  <Lines>83</Lines>
  <Paragraphs>23</Paragraphs>
  <ScaleCrop>false</ScaleCrop>
  <Company>Crystal Decisions</Company>
  <LinksUpToDate>false</LinksUpToDate>
  <CharactersWithSpaces>11782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6</cp:revision>
  <dcterms:created xsi:type="dcterms:W3CDTF">2026-09-08T21:02:00Z</dcterms:created>
  <dcterms:modified xsi:type="dcterms:W3CDTF">2026-09-09T00:49:00Z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01734361CD07C3C85B968AA4B2781C480C131A4BF1DCCE0484255B1E26629C81B52F8CFCC3D3F1E21695AB886E2B632E75747CB8D9898B794EB3A723CE67760DAAF25A9E3CBAC0F437CF5CDA73D4B88ABBFF8F4629BE5D798989510BF44632B6FF4861E775C833756DFD462CE88D085A40A104E5891E6351B8F9786D1A519B9</vt:lpwstr>
  </property>
  <property fmtid="{D5CDD505-2E9C-101B-9397-08002B2CF9AE}" pid="3" name="Business Objects Context Information1">
    <vt:lpwstr>EEB97A892411A73F3B768C14D8AB7D184BC55D789F4205A1349066C8A368A10AAD9FCB212B60473E58AD0415905C2845A4CE2E40EBF55F5E3F74F51BFEEA4DCB61968ED75B816CF3A5BFBA20FE0523ECC2857D98DEC842FCF26E8F76E61FE244D733712016E70D068F8EA065C1A5E1232BB7E52BC6E19701AC733FC9AB1A86F</vt:lpwstr>
  </property>
  <property fmtid="{D5CDD505-2E9C-101B-9397-08002B2CF9AE}" pid="4" name="Business Objects Context Information2">
    <vt:lpwstr>3CC4</vt:lpwstr>
  </property>
</Properties>
</file>