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AA4" w:rsidRDefault="00BD1AA4" w:rsidP="00BD1AA4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400</w:t>
      </w:r>
    </w:p>
    <w:p w:rsidR="00BD1AA4" w:rsidRDefault="00BD1AA4" w:rsidP="00BD1AA4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para Maquinaria y Equipo bajo Tierra</w:t>
      </w:r>
    </w:p>
    <w:p w:rsidR="0001666B" w:rsidRDefault="0001666B">
      <w:pPr>
        <w:keepNext/>
        <w:pBdr>
          <w:bottom w:val="single" w:sz="8" w:space="0" w:color="000000"/>
        </w:pBdr>
        <w:spacing w:after="0" w:line="20" w:lineRule="exact"/>
      </w:pPr>
    </w:p>
    <w:p w:rsidR="00BD1AA4" w:rsidRDefault="00BD1AA4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01666B" w:rsidRDefault="00A1659B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Queda entendido y convenido que, en adición a los términos, exclusiones, cláusulas y condiciones contenidos en la Póliza o en ella endosados y sujeto a que el Asegurado habrá pagado la prima extra acordada, el Asegurador indemnizará al Asegurado toda pérdida de o daño a el (los) objeto(s) no(s) contenido(s) en la especificación de la Póliza debidos a avenidas, inundaciones, corrimientos de tierra o caída de rocas, hundimiento o asentamiento, hundimiento de minas, galerías, túneles, etc., hasta un límite de por accidente. </w:t>
      </w:r>
    </w:p>
    <w:p w:rsidR="0001666B" w:rsidRDefault="0001666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01666B" w:rsidRDefault="00A1659B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Quedarán, sin embargo, excluidos de la cobertura pérdidas o daños debidos a abandono de estos objetos.</w:t>
      </w:r>
    </w:p>
    <w:p w:rsidR="0001666B" w:rsidRDefault="0001666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01666B" w:rsidRDefault="00A1659B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01666B" w:rsidRDefault="00A1659B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666B">
        <w:trPr>
          <w:cantSplit/>
        </w:trPr>
        <w:tc>
          <w:tcPr>
            <w:tcW w:w="4680" w:type="dxa"/>
          </w:tcPr>
          <w:p w:rsidR="0001666B" w:rsidRDefault="0001666B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01666B" w:rsidRDefault="00A1659B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01666B" w:rsidRDefault="00A1659B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01666B" w:rsidRDefault="0001666B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01666B" w:rsidRDefault="00A1659B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01666B" w:rsidRDefault="00A1659B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Aseguradora Global </w:t>
            </w:r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S.A</w:t>
            </w:r>
            <w:proofErr w:type="gramEnd"/>
          </w:p>
        </w:tc>
      </w:tr>
    </w:tbl>
    <w:p w:rsidR="00EC7ED7" w:rsidRDefault="00EC7ED7"/>
    <w:sectPr w:rsidR="00EC7ED7">
      <w:headerReference w:type="default" r:id="rId6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7ED7" w:rsidRDefault="00EC7ED7">
      <w:pPr>
        <w:spacing w:after="0" w:line="240" w:lineRule="auto"/>
      </w:pPr>
      <w:r>
        <w:separator/>
      </w:r>
    </w:p>
  </w:endnote>
  <w:endnote w:type="continuationSeparator" w:id="0">
    <w:p w:rsidR="00EC7ED7" w:rsidRDefault="00EC7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7ED7" w:rsidRDefault="00EC7ED7">
      <w:pPr>
        <w:spacing w:after="0" w:line="240" w:lineRule="auto"/>
      </w:pPr>
      <w:r>
        <w:separator/>
      </w:r>
    </w:p>
  </w:footnote>
  <w:footnote w:type="continuationSeparator" w:id="0">
    <w:p w:rsidR="00EC7ED7" w:rsidRDefault="00EC7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666B" w:rsidRDefault="00000000">
    <w:pPr>
      <w:spacing w:after="0" w:line="240" w:lineRule="auto"/>
    </w:pPr>
    <w:r>
      <w:pict w14:anchorId="35838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01666B" w:rsidRDefault="00A1659B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proofErr w:type="gramStart"/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proofErr w:type="gramEnd"/>
    <w:r>
      <w:t>custom.Poliza</w:t>
    </w:r>
    <w:proofErr w:type="spell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59B"/>
    <w:rsid w:val="0001666B"/>
    <w:rsid w:val="00A1659B"/>
    <w:rsid w:val="00BD1AA4"/>
    <w:rsid w:val="00EC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D4BEDC2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788</Characters>
  <Application>Microsoft Office Word</Application>
  <DocSecurity>0</DocSecurity>
  <Lines>6</Lines>
  <Paragraphs>1</Paragraphs>
  <ScaleCrop>false</ScaleCrop>
  <Company>Crystal Decisions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EF938BBA157F48D57C71F2059E3334C84739722B2BD900C602AC13109FD09A55BEF078ACDA8471D2CF9A7DCA0BB3A0DEA199ED5D59B525EA7668BECE42D7BE66FE39B5B0433B2D90359B563C1A8C2175143229E552E15332FB4E7B9E51DA4313481263B48658DBA4D64EAE1FFCE7B3A9C6D</vt:lpwstr>
  </property>
</Properties>
</file>