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5D0750" w14:textId="77777777" w:rsidR="004A3BDE" w:rsidRDefault="004A3BDE" w:rsidP="004A3BDE">
      <w:pPr>
        <w:autoSpaceDE w:val="0"/>
        <w:autoSpaceDN w:val="0"/>
        <w:adjustRightInd w:val="0"/>
        <w:spacing w:after="70" w:line="240" w:lineRule="auto"/>
        <w:rPr>
          <w:rFonts w:ascii="Arial" w:eastAsia="Times New Roman" w:hAnsi="Arial" w:cs="Arial"/>
          <w:color w:val="000000"/>
          <w:kern w:val="2"/>
          <w:sz w:val="19"/>
          <w:szCs w:val="24"/>
        </w:rPr>
      </w:pPr>
      <w:r>
        <w:rPr>
          <w:rFonts w:ascii="Arial" w:eastAsia="Times New Roman" w:hAnsi="Arial" w:cs="Arial"/>
          <w:color w:val="000000"/>
          <w:kern w:val="2"/>
          <w:sz w:val="19"/>
          <w:szCs w:val="24"/>
        </w:rPr>
        <w:t>Endoso 005</w:t>
      </w:r>
    </w:p>
    <w:p w14:paraId="5EEE7B00" w14:textId="77777777" w:rsidR="004A3BDE" w:rsidRDefault="004A3BDE" w:rsidP="004A3BDE">
      <w:pPr>
        <w:autoSpaceDE w:val="0"/>
        <w:autoSpaceDN w:val="0"/>
        <w:adjustRightInd w:val="0"/>
        <w:spacing w:after="70" w:line="240" w:lineRule="auto"/>
        <w:rPr>
          <w:rFonts w:ascii="Arial" w:eastAsia="Times New Roman" w:hAnsi="Arial" w:cs="Arial"/>
          <w:b/>
          <w:color w:val="000000"/>
          <w:kern w:val="2"/>
          <w:sz w:val="19"/>
          <w:szCs w:val="24"/>
        </w:rPr>
      </w:pPr>
      <w:r>
        <w:rPr>
          <w:rFonts w:ascii="Arial" w:eastAsia="Times New Roman" w:hAnsi="Arial" w:cs="Arial"/>
          <w:b/>
          <w:color w:val="000000"/>
          <w:kern w:val="2"/>
          <w:sz w:val="19"/>
          <w:szCs w:val="24"/>
        </w:rPr>
        <w:t>Condiciones Especiales relativas al Cronograma de Avance de los Trabajos de Construcción y/o Montaje</w:t>
      </w:r>
    </w:p>
    <w:p w14:paraId="1032EF76" w14:textId="6D23F250" w:rsidR="003F3CC1" w:rsidRDefault="003F3CC1">
      <w:pPr>
        <w:keepNext/>
        <w:pBdr>
          <w:bottom w:val="single" w:sz="8" w:space="0" w:color="000000"/>
        </w:pBdr>
        <w:spacing w:after="0" w:line="20" w:lineRule="exact"/>
      </w:pPr>
    </w:p>
    <w:p w14:paraId="1713D848" w14:textId="77777777" w:rsidR="004A3BDE" w:rsidRDefault="004A3BDE">
      <w:pPr>
        <w:keepNext/>
        <w:pBdr>
          <w:bottom w:val="single" w:sz="8" w:space="0" w:color="000000"/>
        </w:pBdr>
        <w:spacing w:after="0" w:line="20" w:lineRule="exact"/>
      </w:pPr>
    </w:p>
    <w:p w14:paraId="6E6328DF" w14:textId="77777777" w:rsidR="004A3BDE" w:rsidRDefault="004A3BDE">
      <w:pPr>
        <w:keepNext/>
        <w:pBdr>
          <w:bottom w:val="single" w:sz="8" w:space="0" w:color="000000"/>
        </w:pBdr>
        <w:spacing w:after="0" w:line="20" w:lineRule="exact"/>
      </w:pPr>
    </w:p>
    <w:p w14:paraId="1DDEE49A" w14:textId="77777777" w:rsidR="003F3CC1" w:rsidRDefault="003F3CC1">
      <w:pPr>
        <w:autoSpaceDE w:val="0"/>
        <w:autoSpaceDN w:val="0"/>
        <w:adjustRightInd w:val="0"/>
        <w:spacing w:after="0" w:line="40" w:lineRule="exact"/>
        <w:rPr>
          <w:rFonts w:ascii="Arial" w:eastAsia="Times New Roman" w:hAnsi="Arial" w:cs="Arial"/>
          <w:b/>
          <w:color w:val="000000"/>
          <w:kern w:val="2"/>
          <w:sz w:val="19"/>
          <w:szCs w:val="24"/>
        </w:rPr>
      </w:pPr>
    </w:p>
    <w:p w14:paraId="77AF9BA9" w14:textId="77777777" w:rsidR="005D7705" w:rsidRDefault="005D7705">
      <w:pPr>
        <w:autoSpaceDE w:val="0"/>
        <w:autoSpaceDN w:val="0"/>
        <w:adjustRightInd w:val="0"/>
        <w:spacing w:after="70" w:line="240" w:lineRule="auto"/>
        <w:jc w:val="both"/>
        <w:rPr>
          <w:rFonts w:ascii="Arial" w:eastAsia="Times New Roman" w:hAnsi="Arial" w:cs="Arial"/>
          <w:color w:val="000000"/>
          <w:kern w:val="2"/>
          <w:sz w:val="19"/>
          <w:szCs w:val="24"/>
        </w:rPr>
      </w:pPr>
    </w:p>
    <w:p w14:paraId="0AF4A863" w14:textId="4298B6F5" w:rsidR="003F3CC1" w:rsidRDefault="002B6629">
      <w:pPr>
        <w:autoSpaceDE w:val="0"/>
        <w:autoSpaceDN w:val="0"/>
        <w:adjustRightInd w:val="0"/>
        <w:spacing w:after="70" w:line="240" w:lineRule="auto"/>
        <w:jc w:val="both"/>
        <w:rPr>
          <w:rFonts w:ascii="Arial" w:eastAsia="Times New Roman" w:hAnsi="Arial" w:cs="Arial"/>
          <w:color w:val="000000"/>
          <w:kern w:val="2"/>
          <w:sz w:val="19"/>
          <w:szCs w:val="24"/>
        </w:rPr>
      </w:pPr>
      <w:r>
        <w:rPr>
          <w:rFonts w:ascii="Arial" w:eastAsia="Times New Roman" w:hAnsi="Arial" w:cs="Arial"/>
          <w:color w:val="000000"/>
          <w:kern w:val="2"/>
          <w:sz w:val="19"/>
          <w:szCs w:val="24"/>
        </w:rPr>
        <w:t>Queda entendido y convenido que, sujeto a los términos, exclusiones, cláusulas y condiciones contenidos en la Póliza o en ella endosados, son aplicables las siguientes condiciones a este seguro:</w:t>
      </w:r>
    </w:p>
    <w:p w14:paraId="66EC9988" w14:textId="77777777" w:rsidR="003F3CC1" w:rsidRDefault="003F3CC1">
      <w:pPr>
        <w:autoSpaceDE w:val="0"/>
        <w:autoSpaceDN w:val="0"/>
        <w:adjustRightInd w:val="0"/>
        <w:spacing w:after="0" w:line="40" w:lineRule="exact"/>
        <w:jc w:val="both"/>
        <w:rPr>
          <w:rFonts w:ascii="Arial" w:eastAsia="Times New Roman" w:hAnsi="Arial" w:cs="Arial"/>
          <w:color w:val="000000"/>
          <w:kern w:val="2"/>
          <w:sz w:val="19"/>
          <w:szCs w:val="24"/>
        </w:rPr>
      </w:pPr>
    </w:p>
    <w:p w14:paraId="1DCADFC2" w14:textId="77777777" w:rsidR="003F3CC1" w:rsidRDefault="002B6629">
      <w:pPr>
        <w:autoSpaceDE w:val="0"/>
        <w:autoSpaceDN w:val="0"/>
        <w:adjustRightInd w:val="0"/>
        <w:spacing w:after="70" w:line="240" w:lineRule="auto"/>
        <w:jc w:val="both"/>
        <w:rPr>
          <w:rFonts w:ascii="Arial" w:eastAsia="Times New Roman" w:hAnsi="Arial" w:cs="Arial"/>
          <w:color w:val="000000"/>
          <w:kern w:val="2"/>
          <w:sz w:val="19"/>
          <w:szCs w:val="24"/>
        </w:rPr>
      </w:pPr>
      <w:r>
        <w:rPr>
          <w:rFonts w:ascii="Arial" w:eastAsia="Times New Roman" w:hAnsi="Arial" w:cs="Arial"/>
          <w:color w:val="000000"/>
          <w:kern w:val="2"/>
          <w:sz w:val="19"/>
          <w:szCs w:val="24"/>
        </w:rPr>
        <w:t xml:space="preserve">Junto con las demás declaraciones hechas por escrito por el Asegurado para obtener cobertura por esta Póliza, así  como  con toda  información  técnica proporcionada al Asegurador, el cronograma de avance de los trabajos de construcción y/o montaje formará parte integrante de la Póliza. </w:t>
      </w:r>
    </w:p>
    <w:p w14:paraId="0AF6D7CB" w14:textId="77777777" w:rsidR="003F3CC1" w:rsidRDefault="003F3CC1">
      <w:pPr>
        <w:autoSpaceDE w:val="0"/>
        <w:autoSpaceDN w:val="0"/>
        <w:adjustRightInd w:val="0"/>
        <w:spacing w:after="0" w:line="40" w:lineRule="exact"/>
        <w:jc w:val="both"/>
        <w:rPr>
          <w:rFonts w:ascii="Arial" w:eastAsia="Times New Roman" w:hAnsi="Arial" w:cs="Arial"/>
          <w:color w:val="000000"/>
          <w:kern w:val="2"/>
          <w:sz w:val="19"/>
          <w:szCs w:val="24"/>
        </w:rPr>
      </w:pPr>
    </w:p>
    <w:p w14:paraId="3AC130B5" w14:textId="77777777" w:rsidR="003F3CC1" w:rsidRDefault="002B6629">
      <w:pPr>
        <w:autoSpaceDE w:val="0"/>
        <w:autoSpaceDN w:val="0"/>
        <w:adjustRightInd w:val="0"/>
        <w:spacing w:after="70" w:line="240" w:lineRule="auto"/>
        <w:jc w:val="both"/>
        <w:rPr>
          <w:rFonts w:ascii="Arial" w:eastAsia="Times New Roman" w:hAnsi="Arial" w:cs="Arial"/>
          <w:color w:val="000000"/>
          <w:kern w:val="2"/>
          <w:sz w:val="19"/>
          <w:szCs w:val="24"/>
        </w:rPr>
      </w:pPr>
      <w:r>
        <w:rPr>
          <w:rFonts w:ascii="Arial" w:eastAsia="Times New Roman" w:hAnsi="Arial" w:cs="Arial"/>
          <w:color w:val="000000"/>
          <w:kern w:val="2"/>
          <w:sz w:val="19"/>
          <w:szCs w:val="24"/>
        </w:rPr>
        <w:t>El Asegurador no indemnizará al Asegurado con respecto a pérdidas o daños causados por o resultantes de o gravados por  una desviación del cronograma de avance de los trabajos de construcción y/o montaje que exceda de los plazos citados a continuación en semanas, a menos que dicha desviación haya sido aprobada por escrito por el Asegurador antes de ocurrir la pérdida o daño.</w:t>
      </w:r>
    </w:p>
    <w:p w14:paraId="20765ECE" w14:textId="77777777" w:rsidR="003F3CC1" w:rsidRDefault="003F3CC1">
      <w:pPr>
        <w:autoSpaceDE w:val="0"/>
        <w:autoSpaceDN w:val="0"/>
        <w:adjustRightInd w:val="0"/>
        <w:spacing w:after="0" w:line="40" w:lineRule="exact"/>
        <w:jc w:val="both"/>
        <w:rPr>
          <w:rFonts w:ascii="Arial" w:eastAsia="Times New Roman" w:hAnsi="Arial" w:cs="Arial"/>
          <w:color w:val="000000"/>
          <w:kern w:val="2"/>
          <w:sz w:val="19"/>
          <w:szCs w:val="24"/>
        </w:rPr>
      </w:pPr>
    </w:p>
    <w:p w14:paraId="781FD083" w14:textId="77777777" w:rsidR="003F3CC1" w:rsidRDefault="002B6629">
      <w:pPr>
        <w:autoSpaceDE w:val="0"/>
        <w:autoSpaceDN w:val="0"/>
        <w:adjustRightInd w:val="0"/>
        <w:spacing w:after="70" w:line="240" w:lineRule="auto"/>
        <w:jc w:val="both"/>
        <w:rPr>
          <w:rFonts w:ascii="Arial" w:eastAsia="Times New Roman" w:hAnsi="Arial" w:cs="Arial"/>
          <w:color w:val="000000"/>
          <w:kern w:val="2"/>
          <w:sz w:val="19"/>
          <w:szCs w:val="24"/>
        </w:rPr>
      </w:pPr>
      <w:r>
        <w:rPr>
          <w:rFonts w:ascii="Arial" w:eastAsia="Times New Roman" w:hAnsi="Arial" w:cs="Arial"/>
          <w:color w:val="000000"/>
          <w:kern w:val="2"/>
          <w:sz w:val="19"/>
          <w:szCs w:val="24"/>
        </w:rPr>
        <w:t>Desviación del cronograma de avance de construcción/montaje: {custom.EDS005_43_1} semanas</w:t>
      </w:r>
    </w:p>
    <w:p w14:paraId="778F1CF6" w14:textId="77777777" w:rsidR="003F3CC1" w:rsidRDefault="003F3CC1">
      <w:pPr>
        <w:autoSpaceDE w:val="0"/>
        <w:autoSpaceDN w:val="0"/>
        <w:adjustRightInd w:val="0"/>
        <w:spacing w:after="0" w:line="40" w:lineRule="exact"/>
        <w:jc w:val="both"/>
        <w:rPr>
          <w:rFonts w:ascii="Arial" w:eastAsia="Times New Roman" w:hAnsi="Arial" w:cs="Arial"/>
          <w:color w:val="000000"/>
          <w:kern w:val="2"/>
          <w:sz w:val="19"/>
          <w:szCs w:val="24"/>
        </w:rPr>
      </w:pPr>
    </w:p>
    <w:p w14:paraId="4856EE72" w14:textId="77777777" w:rsidR="003F3CC1" w:rsidRDefault="002B6629">
      <w:pPr>
        <w:autoSpaceDE w:val="0"/>
        <w:autoSpaceDN w:val="0"/>
        <w:adjustRightInd w:val="0"/>
        <w:spacing w:after="70" w:line="240" w:lineRule="auto"/>
        <w:jc w:val="both"/>
        <w:rPr>
          <w:rFonts w:ascii="Arial" w:eastAsia="Times New Roman" w:hAnsi="Arial" w:cs="Arial"/>
          <w:color w:val="000000"/>
          <w:kern w:val="2"/>
          <w:sz w:val="19"/>
          <w:szCs w:val="24"/>
        </w:rPr>
      </w:pPr>
      <w:r>
        <w:rPr>
          <w:rFonts w:ascii="Arial" w:eastAsia="Times New Roman" w:hAnsi="Arial" w:cs="Arial"/>
          <w:color w:val="000000"/>
          <w:kern w:val="2"/>
          <w:sz w:val="19"/>
          <w:szCs w:val="24"/>
        </w:rPr>
        <w:t>Todos los demás términos y condiciones de la póliza permanecen sin ningún cambio.</w:t>
      </w:r>
    </w:p>
    <w:p w14:paraId="4A06669A" w14:textId="77777777" w:rsidR="003F3CC1" w:rsidRDefault="003F3CC1">
      <w:pPr>
        <w:autoSpaceDE w:val="0"/>
        <w:autoSpaceDN w:val="0"/>
        <w:adjustRightInd w:val="0"/>
        <w:spacing w:after="0" w:line="40" w:lineRule="exact"/>
        <w:jc w:val="both"/>
        <w:rPr>
          <w:rFonts w:ascii="Arial" w:eastAsia="Times New Roman" w:hAnsi="Arial" w:cs="Arial"/>
          <w:color w:val="000000"/>
          <w:kern w:val="2"/>
          <w:sz w:val="19"/>
          <w:szCs w:val="24"/>
        </w:rPr>
      </w:pPr>
    </w:p>
    <w:p w14:paraId="729AFDF4" w14:textId="77777777" w:rsidR="003F3CC1" w:rsidRDefault="003F3CC1">
      <w:pPr>
        <w:autoSpaceDE w:val="0"/>
        <w:autoSpaceDN w:val="0"/>
        <w:adjustRightInd w:val="0"/>
        <w:spacing w:after="0" w:line="40" w:lineRule="exact"/>
        <w:jc w:val="both"/>
        <w:rPr>
          <w:rFonts w:ascii="Arial" w:eastAsia="Times New Roman" w:hAnsi="Arial" w:cs="Arial"/>
          <w:color w:val="000000"/>
          <w:kern w:val="2"/>
          <w:sz w:val="19"/>
          <w:szCs w:val="24"/>
        </w:rPr>
      </w:pPr>
    </w:p>
    <w:p w14:paraId="3F0D7BF1" w14:textId="77777777" w:rsidR="003F3CC1" w:rsidRDefault="002B6629">
      <w:pPr>
        <w:autoSpaceDE w:val="0"/>
        <w:autoSpaceDN w:val="0"/>
        <w:adjustRightInd w:val="0"/>
        <w:spacing w:after="70" w:line="240" w:lineRule="auto"/>
        <w:jc w:val="both"/>
        <w:rPr>
          <w:rFonts w:ascii="Arial" w:eastAsia="Times New Roman" w:hAnsi="Arial" w:cs="Arial"/>
          <w:color w:val="000000"/>
          <w:kern w:val="2"/>
          <w:sz w:val="19"/>
          <w:szCs w:val="24"/>
        </w:rPr>
      </w:pPr>
      <w:r>
        <w:rPr>
          <w:rFonts w:ascii="Arial" w:eastAsia="Times New Roman" w:hAnsi="Arial" w:cs="Arial"/>
          <w:color w:val="000000"/>
          <w:kern w:val="2"/>
          <w:sz w:val="19"/>
          <w:szCs w:val="24"/>
        </w:rPr>
        <w:t>Queda entendido y convenido que, sujeto a los términos, exclusiones, cláusulas y condiciones contenidos en la Póliza o en ella endosados, son aplicables las siguientes condiciones a este seguro:</w:t>
      </w:r>
    </w:p>
    <w:p w14:paraId="0358A199" w14:textId="77777777" w:rsidR="003F3CC1" w:rsidRDefault="003F3CC1">
      <w:pPr>
        <w:autoSpaceDE w:val="0"/>
        <w:autoSpaceDN w:val="0"/>
        <w:adjustRightInd w:val="0"/>
        <w:spacing w:after="0" w:line="40" w:lineRule="exact"/>
        <w:jc w:val="both"/>
        <w:rPr>
          <w:rFonts w:ascii="Arial" w:eastAsia="Times New Roman" w:hAnsi="Arial" w:cs="Arial"/>
          <w:color w:val="000000"/>
          <w:kern w:val="2"/>
          <w:sz w:val="19"/>
          <w:szCs w:val="24"/>
        </w:rPr>
      </w:pPr>
    </w:p>
    <w:p w14:paraId="7A3C2446" w14:textId="77777777" w:rsidR="003F3CC1" w:rsidRDefault="002B6629">
      <w:pPr>
        <w:autoSpaceDE w:val="0"/>
        <w:autoSpaceDN w:val="0"/>
        <w:adjustRightInd w:val="0"/>
        <w:spacing w:after="70" w:line="240" w:lineRule="auto"/>
        <w:jc w:val="both"/>
        <w:rPr>
          <w:rFonts w:ascii="Arial" w:eastAsia="Times New Roman" w:hAnsi="Arial" w:cs="Arial"/>
          <w:color w:val="000000"/>
          <w:kern w:val="2"/>
          <w:sz w:val="19"/>
          <w:szCs w:val="24"/>
        </w:rPr>
      </w:pPr>
      <w:r>
        <w:rPr>
          <w:rFonts w:ascii="Arial" w:eastAsia="Times New Roman" w:hAnsi="Arial" w:cs="Arial"/>
          <w:color w:val="000000"/>
          <w:kern w:val="2"/>
          <w:sz w:val="19"/>
          <w:szCs w:val="24"/>
        </w:rPr>
        <w:t xml:space="preserve">Junto con las demás declaraciones hechas por escrito por el Asegurado para obtener cobertura por esta Póliza, así  como  con toda  información  técnica proporcionada al Asegurador, el cronograma de avance de los trabajos de construcción y/o montaje formará parte integrante de la Póliza. </w:t>
      </w:r>
    </w:p>
    <w:p w14:paraId="70488C62" w14:textId="77777777" w:rsidR="003F3CC1" w:rsidRDefault="003F3CC1">
      <w:pPr>
        <w:autoSpaceDE w:val="0"/>
        <w:autoSpaceDN w:val="0"/>
        <w:adjustRightInd w:val="0"/>
        <w:spacing w:after="0" w:line="40" w:lineRule="exact"/>
        <w:jc w:val="both"/>
        <w:rPr>
          <w:rFonts w:ascii="Arial" w:eastAsia="Times New Roman" w:hAnsi="Arial" w:cs="Arial"/>
          <w:color w:val="000000"/>
          <w:kern w:val="2"/>
          <w:sz w:val="19"/>
          <w:szCs w:val="24"/>
        </w:rPr>
      </w:pPr>
    </w:p>
    <w:p w14:paraId="2A3E8EA7" w14:textId="77777777" w:rsidR="003F3CC1" w:rsidRDefault="002B6629">
      <w:pPr>
        <w:autoSpaceDE w:val="0"/>
        <w:autoSpaceDN w:val="0"/>
        <w:adjustRightInd w:val="0"/>
        <w:spacing w:after="70" w:line="240" w:lineRule="auto"/>
        <w:jc w:val="both"/>
        <w:rPr>
          <w:rFonts w:ascii="Arial" w:eastAsia="Times New Roman" w:hAnsi="Arial" w:cs="Arial"/>
          <w:color w:val="000000"/>
          <w:kern w:val="2"/>
          <w:sz w:val="19"/>
          <w:szCs w:val="24"/>
        </w:rPr>
      </w:pPr>
      <w:r>
        <w:rPr>
          <w:rFonts w:ascii="Arial" w:eastAsia="Times New Roman" w:hAnsi="Arial" w:cs="Arial"/>
          <w:color w:val="000000"/>
          <w:kern w:val="2"/>
          <w:sz w:val="19"/>
          <w:szCs w:val="24"/>
        </w:rPr>
        <w:t>El Asegurador no indemnizará al Asegurado con respecto a pérdidas o daños causados por o resultantes de o gravados por  una desviación del cronograma de avance de los trabajos de construcción y/o montaje que exceda de los plazos citados a continuación en semanas, a menos que dicha desviación haya sido aprobada por escrito por el Asegurador antes de ocurrir la pérdida o daño.</w:t>
      </w:r>
    </w:p>
    <w:p w14:paraId="3CF36AAB" w14:textId="77777777" w:rsidR="003F3CC1" w:rsidRDefault="003F3CC1">
      <w:pPr>
        <w:autoSpaceDE w:val="0"/>
        <w:autoSpaceDN w:val="0"/>
        <w:adjustRightInd w:val="0"/>
        <w:spacing w:after="0" w:line="40" w:lineRule="exact"/>
        <w:jc w:val="both"/>
        <w:rPr>
          <w:rFonts w:ascii="Arial" w:eastAsia="Times New Roman" w:hAnsi="Arial" w:cs="Arial"/>
          <w:color w:val="000000"/>
          <w:kern w:val="2"/>
          <w:sz w:val="19"/>
          <w:szCs w:val="24"/>
        </w:rPr>
      </w:pPr>
    </w:p>
    <w:p w14:paraId="614FFF55" w14:textId="77777777" w:rsidR="003F3CC1" w:rsidRDefault="002B6629">
      <w:pPr>
        <w:autoSpaceDE w:val="0"/>
        <w:autoSpaceDN w:val="0"/>
        <w:adjustRightInd w:val="0"/>
        <w:spacing w:after="70" w:line="240" w:lineRule="auto"/>
        <w:jc w:val="both"/>
        <w:rPr>
          <w:rFonts w:ascii="Arial" w:eastAsia="Times New Roman" w:hAnsi="Arial" w:cs="Arial"/>
          <w:color w:val="000000"/>
          <w:kern w:val="2"/>
          <w:sz w:val="19"/>
          <w:szCs w:val="24"/>
        </w:rPr>
      </w:pPr>
      <w:r>
        <w:rPr>
          <w:rFonts w:ascii="Arial" w:eastAsia="Times New Roman" w:hAnsi="Arial" w:cs="Arial"/>
          <w:color w:val="000000"/>
          <w:kern w:val="2"/>
          <w:sz w:val="19"/>
          <w:szCs w:val="24"/>
        </w:rPr>
        <w:t>Desviación del cronograma de avance de construcción/montaje: {custom.EDS005_43_1} semanas</w:t>
      </w:r>
    </w:p>
    <w:p w14:paraId="55033838" w14:textId="77777777" w:rsidR="003F3CC1" w:rsidRDefault="003F3CC1">
      <w:pPr>
        <w:autoSpaceDE w:val="0"/>
        <w:autoSpaceDN w:val="0"/>
        <w:adjustRightInd w:val="0"/>
        <w:spacing w:after="0" w:line="40" w:lineRule="exact"/>
        <w:jc w:val="both"/>
        <w:rPr>
          <w:rFonts w:ascii="Arial" w:eastAsia="Times New Roman" w:hAnsi="Arial" w:cs="Arial"/>
          <w:color w:val="000000"/>
          <w:kern w:val="2"/>
          <w:sz w:val="19"/>
          <w:szCs w:val="24"/>
        </w:rPr>
      </w:pPr>
    </w:p>
    <w:p w14:paraId="75C40CA0" w14:textId="6E030641" w:rsidR="003F3CC1" w:rsidRDefault="002B6629" w:rsidP="004A3BDE">
      <w:pPr>
        <w:autoSpaceDE w:val="0"/>
        <w:autoSpaceDN w:val="0"/>
        <w:adjustRightInd w:val="0"/>
        <w:spacing w:after="70" w:line="240" w:lineRule="auto"/>
        <w:jc w:val="both"/>
        <w:rPr>
          <w:rFonts w:ascii="Arial" w:eastAsia="Times New Roman" w:hAnsi="Arial" w:cs="Arial"/>
          <w:color w:val="000000"/>
          <w:kern w:val="2"/>
          <w:sz w:val="19"/>
          <w:szCs w:val="24"/>
        </w:rPr>
      </w:pPr>
      <w:r>
        <w:rPr>
          <w:rFonts w:ascii="Arial" w:eastAsia="Times New Roman" w:hAnsi="Arial" w:cs="Arial"/>
          <w:color w:val="000000"/>
          <w:kern w:val="2"/>
          <w:sz w:val="19"/>
          <w:szCs w:val="24"/>
        </w:rPr>
        <w:t>Todos los demás términos y condiciones de la póliza permanecen sin ningún cambio.</w:t>
      </w:r>
    </w:p>
    <w:p w14:paraId="0513E9DF" w14:textId="77777777" w:rsidR="004A3BDE" w:rsidRDefault="004A3BDE" w:rsidP="004A3BDE">
      <w:pPr>
        <w:autoSpaceDE w:val="0"/>
        <w:autoSpaceDN w:val="0"/>
        <w:adjustRightInd w:val="0"/>
        <w:spacing w:after="70" w:line="240" w:lineRule="auto"/>
        <w:jc w:val="both"/>
        <w:rPr>
          <w:rFonts w:ascii="Arial" w:eastAsia="Times New Roman" w:hAnsi="Arial" w:cs="Arial"/>
          <w:color w:val="000000"/>
          <w:kern w:val="2"/>
          <w:sz w:val="19"/>
          <w:szCs w:val="24"/>
        </w:rPr>
      </w:pPr>
    </w:p>
    <w:p w14:paraId="7D255FEA" w14:textId="77777777" w:rsidR="003F3CC1" w:rsidRDefault="003F3CC1">
      <w:pPr>
        <w:autoSpaceDE w:val="0"/>
        <w:autoSpaceDN w:val="0"/>
        <w:adjustRightInd w:val="0"/>
        <w:spacing w:after="0" w:line="40" w:lineRule="exact"/>
        <w:jc w:val="both"/>
        <w:rPr>
          <w:rFonts w:ascii="Arial" w:eastAsia="Times New Roman" w:hAnsi="Arial" w:cs="Arial"/>
          <w:color w:val="000000"/>
          <w:kern w:val="2"/>
          <w:sz w:val="19"/>
          <w:szCs w:val="24"/>
        </w:rPr>
      </w:pPr>
    </w:p>
    <w:p w14:paraId="1DDD95B6" w14:textId="77777777" w:rsidR="003F3CC1" w:rsidRDefault="003F3CC1">
      <w:pPr>
        <w:autoSpaceDE w:val="0"/>
        <w:autoSpaceDN w:val="0"/>
        <w:adjustRightInd w:val="0"/>
        <w:spacing w:after="0" w:line="40" w:lineRule="exact"/>
        <w:jc w:val="both"/>
        <w:rPr>
          <w:rFonts w:ascii="Arial" w:eastAsia="Times New Roman" w:hAnsi="Arial" w:cs="Arial"/>
          <w:color w:val="000000"/>
          <w:kern w:val="2"/>
          <w:sz w:val="19"/>
          <w:szCs w:val="24"/>
        </w:rPr>
      </w:pPr>
    </w:p>
    <w:p w14:paraId="58C52AC7" w14:textId="67FFC608" w:rsidR="003F3CC1" w:rsidRDefault="002B6629">
      <w:pPr>
        <w:keepNext/>
        <w:autoSpaceDE w:val="0"/>
        <w:autoSpaceDN w:val="0"/>
        <w:adjustRightInd w:val="0"/>
        <w:spacing w:after="320" w:line="240" w:lineRule="auto"/>
        <w:rPr>
          <w:rFonts w:ascii="Arial" w:eastAsia="Times New Roman" w:hAnsi="Arial" w:cs="Arial"/>
          <w:b/>
          <w:color w:val="000000"/>
          <w:kern w:val="2"/>
          <w:sz w:val="19"/>
          <w:szCs w:val="24"/>
        </w:rPr>
      </w:pPr>
      <w:r>
        <w:rPr>
          <w:rFonts w:ascii="Arial" w:eastAsia="Times New Roman" w:hAnsi="Arial" w:cs="Arial"/>
          <w:b/>
          <w:color w:val="000000"/>
          <w:kern w:val="2"/>
          <w:sz w:val="19"/>
          <w:szCs w:val="24"/>
        </w:rPr>
        <w:t>Firma de Aceptación</w:t>
      </w:r>
    </w:p>
    <w:p w14:paraId="5A5D1FAF" w14:textId="4195634D" w:rsidR="004A3BDE" w:rsidRDefault="004A3BDE">
      <w:pPr>
        <w:keepNext/>
        <w:autoSpaceDE w:val="0"/>
        <w:autoSpaceDN w:val="0"/>
        <w:adjustRightInd w:val="0"/>
        <w:spacing w:after="320" w:line="240" w:lineRule="auto"/>
        <w:rPr>
          <w:rFonts w:ascii="Arial" w:eastAsia="Times New Roman" w:hAnsi="Arial" w:cs="Arial"/>
          <w:b/>
          <w:color w:val="000000"/>
          <w:kern w:val="2"/>
          <w:sz w:val="19"/>
          <w:szCs w:val="24"/>
        </w:rPr>
      </w:pPr>
    </w:p>
    <w:p w14:paraId="1B0F5BF0" w14:textId="77777777" w:rsidR="004A3BDE" w:rsidRDefault="004A3BDE">
      <w:pPr>
        <w:keepNext/>
        <w:autoSpaceDE w:val="0"/>
        <w:autoSpaceDN w:val="0"/>
        <w:adjustRightInd w:val="0"/>
        <w:spacing w:after="320" w:line="240" w:lineRule="auto"/>
        <w:rPr>
          <w:rFonts w:ascii="Arial" w:eastAsia="Times New Roman" w:hAnsi="Arial" w:cs="Arial"/>
          <w:b/>
          <w:color w:val="000000"/>
          <w:kern w:val="2"/>
          <w:sz w:val="19"/>
          <w:szCs w:val="24"/>
        </w:rPr>
      </w:pPr>
    </w:p>
    <w:tbl>
      <w:tblPr>
        <w:tblW w:w="9360" w:type="dxa"/>
        <w:tblBorders>
          <w:top w:val="nil"/>
          <w:left w:val="nil"/>
          <w:bottom w:val="nil"/>
          <w:right w:val="nil"/>
          <w:insideH w:val="nil"/>
          <w:insideV w:val="nil"/>
        </w:tblBorders>
        <w:tblLayout w:type="fixed"/>
        <w:tblLook w:val="04A0" w:firstRow="1" w:lastRow="0" w:firstColumn="1" w:lastColumn="0" w:noHBand="0" w:noVBand="1"/>
      </w:tblPr>
      <w:tblGrid>
        <w:gridCol w:w="4680"/>
        <w:gridCol w:w="4680"/>
      </w:tblGrid>
      <w:tr w:rsidR="003F3CC1" w14:paraId="0CF5A785" w14:textId="77777777">
        <w:trPr>
          <w:cantSplit/>
        </w:trPr>
        <w:tc>
          <w:tcPr>
            <w:tcW w:w="4680" w:type="dxa"/>
          </w:tcPr>
          <w:p w14:paraId="1F06EEF5" w14:textId="77777777" w:rsidR="003F3CC1" w:rsidRDefault="003F3CC1">
            <w:pPr>
              <w:keepNext/>
              <w:pBdr>
                <w:bottom w:val="single" w:sz="8" w:space="0" w:color="000000"/>
              </w:pBdr>
              <w:spacing w:after="0" w:line="20" w:lineRule="exact"/>
            </w:pPr>
          </w:p>
          <w:p w14:paraId="6809FE99" w14:textId="34005C01" w:rsidR="003F3CC1" w:rsidRDefault="002E2524">
            <w:pPr>
              <w:autoSpaceDE w:val="0"/>
              <w:autoSpaceDN w:val="0"/>
              <w:adjustRightInd w:val="0"/>
              <w:spacing w:after="70" w:line="240" w:lineRule="auto"/>
              <w:rPr>
                <w:rFonts w:ascii="Arial" w:eastAsia="Times New Roman" w:hAnsi="Arial" w:cs="Arial"/>
                <w:b/>
                <w:color w:val="000000"/>
                <w:kern w:val="2"/>
                <w:sz w:val="19"/>
                <w:szCs w:val="24"/>
              </w:rPr>
            </w:pPr>
            <w:r>
              <w:rPr>
                <w:rFonts w:ascii="Arial" w:eastAsia="Times New Roman" w:hAnsi="Arial" w:cs="Arial"/>
                <w:b/>
                <w:color w:val="000000"/>
                <w:kern w:val="2"/>
                <w:sz w:val="19"/>
                <w:szCs w:val="24"/>
              </w:rPr>
              <w:t>{custom.Tenedor}</w:t>
            </w:r>
          </w:p>
        </w:tc>
        <w:tc>
          <w:tcPr>
            <w:tcW w:w="4680" w:type="dxa"/>
          </w:tcPr>
          <w:p w14:paraId="62792C5D" w14:textId="77777777" w:rsidR="003F3CC1" w:rsidRDefault="003F3CC1">
            <w:pPr>
              <w:keepNext/>
              <w:pBdr>
                <w:bottom w:val="single" w:sz="8" w:space="0" w:color="000000"/>
              </w:pBdr>
              <w:spacing w:after="0" w:line="20" w:lineRule="exact"/>
            </w:pPr>
          </w:p>
          <w:p w14:paraId="5DA7E47E" w14:textId="77777777" w:rsidR="003F3CC1" w:rsidRDefault="002B6629">
            <w:pPr>
              <w:autoSpaceDE w:val="0"/>
              <w:autoSpaceDN w:val="0"/>
              <w:adjustRightInd w:val="0"/>
              <w:spacing w:after="70" w:line="240" w:lineRule="auto"/>
              <w:jc w:val="center"/>
              <w:rPr>
                <w:rFonts w:ascii="Arial" w:eastAsia="Times New Roman" w:hAnsi="Arial" w:cs="Arial"/>
                <w:b/>
                <w:color w:val="000000"/>
                <w:kern w:val="2"/>
                <w:sz w:val="19"/>
                <w:szCs w:val="24"/>
              </w:rPr>
            </w:pPr>
            <w:r>
              <w:rPr>
                <w:rFonts w:ascii="Arial" w:eastAsia="Times New Roman" w:hAnsi="Arial" w:cs="Arial"/>
                <w:b/>
                <w:color w:val="000000"/>
                <w:kern w:val="2"/>
                <w:sz w:val="19"/>
                <w:szCs w:val="24"/>
              </w:rPr>
              <w:t>ASEGURADORA GLOBAL, S.A.</w:t>
            </w:r>
          </w:p>
        </w:tc>
      </w:tr>
    </w:tbl>
    <w:p w14:paraId="47284274" w14:textId="77777777" w:rsidR="008C08C4" w:rsidRDefault="008C08C4"/>
    <w:sectPr w:rsidR="008C08C4">
      <w:headerReference w:type="default" r:id="rId6"/>
      <w:footerReference w:type="default" r:id="rId7"/>
      <w:pgSz w:w="12240" w:h="15840"/>
      <w:pgMar w:top="2160" w:right="1200" w:bottom="1000" w:left="1200" w:header="480" w:footer="48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2A10F7" w14:textId="77777777" w:rsidR="00B9171E" w:rsidRDefault="00B9171E">
      <w:pPr>
        <w:spacing w:after="0" w:line="240" w:lineRule="auto"/>
      </w:pPr>
      <w:r>
        <w:separator/>
      </w:r>
    </w:p>
  </w:endnote>
  <w:endnote w:type="continuationSeparator" w:id="0">
    <w:p w14:paraId="67A78062" w14:textId="77777777" w:rsidR="00B9171E" w:rsidRDefault="00B917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946DC7" w14:textId="77777777" w:rsidR="003F3CC1" w:rsidRDefault="002B6629">
    <w:pPr>
      <w:autoSpaceDE w:val="0"/>
      <w:autoSpaceDN w:val="0"/>
      <w:adjustRightInd w:val="0"/>
      <w:spacing w:after="0" w:line="240" w:lineRule="auto"/>
      <w:rPr>
        <w:rFonts w:ascii="Arial" w:eastAsia="Times New Roman" w:hAnsi="Arial" w:cs="Arial"/>
        <w:color w:val="000000"/>
        <w:kern w:val="2"/>
        <w:sz w:val="15"/>
        <w:szCs w:val="24"/>
      </w:rPr>
    </w:pPr>
    <w:r>
      <w:rPr>
        <w:rFonts w:ascii="Arial" w:eastAsia="Times New Roman" w:hAnsi="Arial" w:cs="Arial"/>
        <w:color w:val="000000"/>
        <w:kern w:val="2"/>
        <w:sz w:val="15"/>
        <w:szCs w:val="24"/>
      </w:rPr>
      <w:t>Regulado y Supervisado por la Superintendencia de Seguros y Reaseguros de Panamá</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35117A" w14:textId="77777777" w:rsidR="00B9171E" w:rsidRDefault="00B9171E">
      <w:pPr>
        <w:spacing w:after="0" w:line="240" w:lineRule="auto"/>
      </w:pPr>
      <w:r>
        <w:separator/>
      </w:r>
    </w:p>
  </w:footnote>
  <w:footnote w:type="continuationSeparator" w:id="0">
    <w:p w14:paraId="1413672F" w14:textId="77777777" w:rsidR="00B9171E" w:rsidRDefault="00B917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0BFCD1" w14:textId="77777777" w:rsidR="003F3CC1" w:rsidRDefault="00000000">
    <w:pPr>
      <w:spacing w:after="0" w:line="240" w:lineRule="auto"/>
    </w:pPr>
    <w:r>
      <w:pict w14:anchorId="7E0661E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7.75pt;height:47.25pt">
          <v:imagedata r:id="rId1" o:title=""/>
          <o:lock v:ext="edit" aspectratio="f"/>
        </v:shape>
      </w:pict>
    </w:r>
  </w:p>
  <w:p w14:paraId="48EECAF2" w14:textId="77777777" w:rsidR="003F3CC1" w:rsidRDefault="002B6629">
    <w:pPr>
      <w:autoSpaceDE w:val="0"/>
      <w:autoSpaceDN w:val="0"/>
      <w:adjustRightInd w:val="0"/>
      <w:spacing w:after="0" w:line="240" w:lineRule="auto"/>
      <w:jc w:val="right"/>
      <w:rPr>
        <w:rFonts w:ascii="Arial" w:eastAsia="Times New Roman" w:hAnsi="Arial" w:cs="Arial"/>
        <w:color w:val="000000"/>
        <w:kern w:val="2"/>
        <w:sz w:val="19"/>
        <w:szCs w:val="24"/>
      </w:rPr>
    </w:pPr>
    <w:r>
      <w:rPr>
        <w:rFonts w:ascii="Arial" w:eastAsia="Times New Roman" w:hAnsi="Arial" w:cs="Arial"/>
        <w:color w:val="000000"/>
        <w:kern w:val="2"/>
        <w:sz w:val="19"/>
        <w:szCs w:val="24"/>
      </w:rPr>
      <w:t xml:space="preserve">Nº de Póliza: {custom.Poliza}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embedSystemFonts/>
  <w:bordersDoNotSurroundHeader/>
  <w:bordersDoNotSurroundFooter/>
  <w:doNotTrackMoves/>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B6629"/>
    <w:rsid w:val="002B6629"/>
    <w:rsid w:val="002E2524"/>
    <w:rsid w:val="00362F5D"/>
    <w:rsid w:val="003F3CC1"/>
    <w:rsid w:val="004A3BDE"/>
    <w:rsid w:val="005D7705"/>
    <w:rsid w:val="007F2B0F"/>
    <w:rsid w:val="008C08C4"/>
    <w:rsid w:val="00B9171E"/>
  </w:rsids>
  <m:mathPr>
    <m:mathFont m:val="Cambria Math"/>
    <m:brkBin m:val="before"/>
    <m:brkBinSub m:val="--"/>
    <m:smallFrac m:val="0"/>
    <m:dispDef/>
    <m:lMargin m:val="0"/>
    <m:rMargin m:val="0"/>
    <m:defJc m:val="centerGroup"/>
    <m:wrapIndent m:val="1440"/>
    <m:intLim m:val="subSup"/>
    <m:naryLim m:val="undOvr"/>
  </m:mathPr>
  <w:themeFontLang w:val="es-NI"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34382EF"/>
  <w14:defaultImageDpi w14:val="0"/>
  <w15:docId w15:val="{53A20537-0A43-437C-947D-2058D13F7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Malgun Gothic" w:hAnsi="Calibri" w:cs="Times New Roman"/>
        <w:lang w:val="es-NI"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348</Words>
  <Characters>1918</Characters>
  <Application>Microsoft Office Word</Application>
  <DocSecurity>0</DocSecurity>
  <Lines>15</Lines>
  <Paragraphs>4</Paragraphs>
  <ScaleCrop>false</ScaleCrop>
  <Company>Crystal Decisions</Company>
  <LinksUpToDate>false</LinksUpToDate>
  <CharactersWithSpaces>2262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Crystal Reports</dc:creator>
  <cp:keywords/>
  <dc:description>Powered By Crystal</dc:description>
  <cp:lastModifiedBy>Michael Antonio Delgado Castro</cp:lastModifiedBy>
  <cp:revision>7</cp:revision>
  <dcterms:created xsi:type="dcterms:W3CDTF">2026-09-25T00:23:00Z</dcterms:created>
  <dcterms:modified xsi:type="dcterms:W3CDTF">2026-10-16T15:34:00Z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usiness Objects Context Information">
    <vt:lpwstr>01734361CD07C3C85B968AA4B2781C480C131A4BF1DCCE0484255B1E26629C81B52F8CFCC3D3F1E21695AB886E2B632E75747CB8D9898B794EB3A723CE67760DAA12BDD7607A912E77970B4FBA356D420687EF539230F38992F4FE6E0A80706CCFBFAFE2CBCEF8D06E26B0E3D6666501EB37DD4A7DAAE6F3CDE644F24BF089C</vt:lpwstr>
  </property>
  <property fmtid="{D5CDD505-2E9C-101B-9397-08002B2CF9AE}" pid="3" name="Business Objects Context Information1">
    <vt:lpwstr>0A0822CB1101541F941FD934464B188A51904F173C0019CF1D67ACC1C9BE8650A8D7365F3A7A4120881BF79247B1FD2508BFFF14F7394664843B13CE3EFDD8A3AECBC29B18F0DE4204C5E694ED51B664D9E6BAEB95E35A0327AF0458EA5AACB27DC</vt:lpwstr>
  </property>
</Properties>
</file>