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2E36" w:rsidRDefault="00002E36" w:rsidP="00002E36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013</w:t>
      </w:r>
    </w:p>
    <w:p w:rsidR="00002E36" w:rsidRDefault="00002E36" w:rsidP="00002E36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Bienes Almacenados fuera del Sitio de Obra/Montaje Mencionado en la Parte Descriptiva</w:t>
      </w:r>
    </w:p>
    <w:p w:rsidR="00CD3250" w:rsidRDefault="00CD3250">
      <w:pPr>
        <w:keepNext/>
        <w:pBdr>
          <w:bottom w:val="single" w:sz="8" w:space="0" w:color="000000"/>
        </w:pBdr>
        <w:spacing w:after="0" w:line="20" w:lineRule="exact"/>
      </w:pPr>
    </w:p>
    <w:p w:rsidR="00002E36" w:rsidRDefault="00002E36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CD3250" w:rsidRDefault="002F6070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Queda entendido y convenido que, sujeto a los términos, exclusiones, cláusulas y condiciones contenidos en la póliza o en ella endosados y sujeto a que el Asegurado habrá pagado la </w:t>
      </w:r>
      <w:proofErr w:type="spell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extraprima</w:t>
      </w:r>
      <w:proofErr w:type="spell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acordada, el amparo de seguro bajo la sección I de  esta póliza será extendida a cubrir también pérdidas y siniestros que puedan ocurrir en los bienes asegurados  almacenados fuera del sitio de obra/montaje mencionado en la parte descriptiva (excepto los bienes producidos, elaborados o almacenados por el fabricante, distribuidor o proveedor) dentro de los límites territoriales indicados más abajo.</w:t>
      </w:r>
    </w:p>
    <w:p w:rsidR="00CD3250" w:rsidRDefault="00CD3250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CD3250" w:rsidRDefault="002F6070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Aseguradores no indemnizarán al Asegurado las pérdidas o siniestros que se originen por negligencia de las medidas preventivas de siniestros generalmente reconocidas para los depósitos y unidades de almacenaje. En particular, esas medidas comprenden lo siguiente:</w:t>
      </w:r>
    </w:p>
    <w:p w:rsidR="00CD3250" w:rsidRDefault="00CD3250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002E36" w:rsidRDefault="002F6070" w:rsidP="00002E36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 w:rsidRPr="00002E36"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una garantía de que el recinto del almacenaje esté cerrado (edificio o, por lo menos, cercado), vigilado y protegido    contra incendios, tal como es apropiado para el respectivo sitio y el tipo de bienes almacenados. </w:t>
      </w:r>
    </w:p>
    <w:p w:rsidR="00002E36" w:rsidRDefault="002F6070" w:rsidP="00002E36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 w:rsidRPr="00002E36">
        <w:rPr>
          <w:rFonts w:ascii="Arial" w:eastAsia="Times New Roman" w:hAnsi="Arial" w:cs="Arial"/>
          <w:color w:val="000000"/>
          <w:kern w:val="2"/>
          <w:sz w:val="19"/>
          <w:szCs w:val="24"/>
        </w:rPr>
        <w:t>separación de las unidades de almacenaje mediante muros cortafuegos o guardar una distancia mínima de 50 metros.</w:t>
      </w:r>
    </w:p>
    <w:p w:rsidR="00002E36" w:rsidRDefault="002F6070" w:rsidP="00002E36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 w:rsidRPr="00002E36"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ubicación y diseño de las unidades de almacenaje en forma tal que queden descartados posibles daños </w:t>
      </w:r>
      <w:proofErr w:type="gramStart"/>
      <w:r w:rsidRPr="00002E36">
        <w:rPr>
          <w:rFonts w:ascii="Arial" w:eastAsia="Times New Roman" w:hAnsi="Arial" w:cs="Arial"/>
          <w:color w:val="000000"/>
          <w:kern w:val="2"/>
          <w:sz w:val="19"/>
          <w:szCs w:val="24"/>
        </w:rPr>
        <w:t>atribuibles  a</w:t>
      </w:r>
      <w:proofErr w:type="gramEnd"/>
      <w:r w:rsidRPr="00002E36"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la acumulación de agua o a inundaciones por intensas lluvias o a crecidas con un período de recurrencia estadístico inferior a 20 años; </w:t>
      </w:r>
    </w:p>
    <w:p w:rsidR="00CD3250" w:rsidRPr="00002E36" w:rsidRDefault="002F6070" w:rsidP="00002E36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 w:rsidRPr="00002E36">
        <w:rPr>
          <w:rFonts w:ascii="Arial" w:eastAsia="Times New Roman" w:hAnsi="Arial" w:cs="Arial"/>
          <w:color w:val="000000"/>
          <w:kern w:val="2"/>
          <w:sz w:val="19"/>
          <w:szCs w:val="24"/>
        </w:rPr>
        <w:t>limitación del valor por unidad de almacenaje.</w:t>
      </w:r>
    </w:p>
    <w:p w:rsidR="00CD3250" w:rsidRDefault="00CD3250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CD3250" w:rsidRDefault="002F6070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Dentro de los límites territoriales de la República de Panamá</w:t>
      </w:r>
    </w:p>
    <w:p w:rsidR="00CD3250" w:rsidRDefault="00CD3250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CD3250" w:rsidRDefault="002F6070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máximo por unidad de almacenaje: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013_50_3}</w:t>
      </w:r>
    </w:p>
    <w:p w:rsidR="00CD3250" w:rsidRDefault="00CD3250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CD3250" w:rsidRDefault="002F6070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Límite de indemnización por evento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:  {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custom.EDS013_50_4}</w:t>
      </w:r>
    </w:p>
    <w:p w:rsidR="00CD3250" w:rsidRDefault="00CD3250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CD3250" w:rsidRDefault="002F6070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013_50_1}% del valor de la pérdida sujeto a un mínimo de {custom.EDS013_50_2} por evento</w:t>
      </w:r>
    </w:p>
    <w:p w:rsidR="00CD3250" w:rsidRDefault="00CD3250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CD3250" w:rsidRDefault="002F6070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Extra prima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: Incluida</w:t>
      </w:r>
    </w:p>
    <w:p w:rsidR="00CD3250" w:rsidRDefault="00CD3250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CD3250" w:rsidRDefault="002F6070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:rsidR="00C035A0" w:rsidRDefault="00C035A0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p w:rsidR="00CD3250" w:rsidRDefault="002F6070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Aceptación</w:t>
      </w:r>
    </w:p>
    <w:p w:rsidR="00C035A0" w:rsidRDefault="00C035A0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p w:rsidR="00C035A0" w:rsidRDefault="00C035A0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CD3250">
        <w:trPr>
          <w:cantSplit/>
        </w:trPr>
        <w:tc>
          <w:tcPr>
            <w:tcW w:w="4680" w:type="dxa"/>
          </w:tcPr>
          <w:p w:rsidR="00CD3250" w:rsidRDefault="00CD3250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CD3250" w:rsidRDefault="00C035A0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{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custom.Tenedor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}</w:t>
            </w:r>
          </w:p>
        </w:tc>
        <w:tc>
          <w:tcPr>
            <w:tcW w:w="4680" w:type="dxa"/>
          </w:tcPr>
          <w:p w:rsidR="00CD3250" w:rsidRDefault="00CD3250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CD3250" w:rsidRDefault="002F6070">
            <w:pPr>
              <w:autoSpaceDE w:val="0"/>
              <w:autoSpaceDN w:val="0"/>
              <w:adjustRightInd w:val="0"/>
              <w:spacing w:after="7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p w:rsidR="00315B22" w:rsidRDefault="00315B22"/>
    <w:sectPr w:rsidR="00315B22">
      <w:headerReference w:type="default" r:id="rId7"/>
      <w:footerReference w:type="default" r:id="rId8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15B22" w:rsidRDefault="00315B22">
      <w:pPr>
        <w:spacing w:after="0" w:line="240" w:lineRule="auto"/>
      </w:pPr>
      <w:r>
        <w:separator/>
      </w:r>
    </w:p>
  </w:endnote>
  <w:endnote w:type="continuationSeparator" w:id="0">
    <w:p w:rsidR="00315B22" w:rsidRDefault="00315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D3250" w:rsidRDefault="002F6070">
    <w:pPr>
      <w:autoSpaceDE w:val="0"/>
      <w:autoSpaceDN w:val="0"/>
      <w:adjustRightInd w:val="0"/>
      <w:spacing w:after="0" w:line="240" w:lineRule="auto"/>
      <w:rPr>
        <w:rFonts w:ascii="Arial" w:eastAsia="Times New Roman" w:hAnsi="Arial" w:cs="Arial"/>
        <w:color w:val="000000"/>
        <w:kern w:val="2"/>
        <w:sz w:val="15"/>
        <w:szCs w:val="24"/>
      </w:rPr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15B22" w:rsidRDefault="00315B22">
      <w:pPr>
        <w:spacing w:after="0" w:line="240" w:lineRule="auto"/>
      </w:pPr>
      <w:r>
        <w:separator/>
      </w:r>
    </w:p>
  </w:footnote>
  <w:footnote w:type="continuationSeparator" w:id="0">
    <w:p w:rsidR="00315B22" w:rsidRDefault="00315B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D3250" w:rsidRDefault="00000000">
    <w:pPr>
      <w:spacing w:after="0" w:line="240" w:lineRule="auto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48" type="#_x0000_t75" style="width:177.75pt;height:47.25pt">
          <v:imagedata r:id="rId1" o:title=""/>
          <o:lock v:ext="edit" aspectratio="f"/>
        </v:shape>
      </w:pict>
    </w:r>
  </w:p>
  <w:p w:rsidR="00CD3250" w:rsidRDefault="002F6070">
    <w:pPr>
      <w:autoSpaceDE w:val="0"/>
      <w:autoSpaceDN w:val="0"/>
      <w:adjustRightInd w:val="0"/>
      <w:spacing w:after="0" w:line="240" w:lineRule="auto"/>
      <w:jc w:val="right"/>
      <w:rPr>
        <w:rFonts w:ascii="Arial" w:eastAsia="Times New Roman" w:hAnsi="Arial" w:cs="Arial"/>
        <w:color w:val="000000"/>
        <w:kern w:val="2"/>
        <w:sz w:val="19"/>
        <w:szCs w:val="24"/>
      </w:rPr>
    </w:pPr>
    <w:proofErr w:type="spellStart"/>
    <w:r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Póliza: {</w:t>
    </w:r>
    <w:proofErr w:type="spellStart"/>
    <w:proofErr w:type="gramStart"/>
    <w:r>
      <w:rPr>
        <w:rFonts w:ascii="Arial" w:eastAsia="Times New Roman" w:hAnsi="Arial" w:cs="Arial"/>
        <w:color w:val="000000"/>
        <w:kern w:val="2"/>
        <w:sz w:val="19"/>
        <w:szCs w:val="24"/>
      </w:rPr>
      <w:t>custom.Poliza</w:t>
    </w:r>
    <w:proofErr w:type="spellEnd"/>
    <w:proofErr w:type="gramEnd"/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}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E96D99"/>
    <w:multiLevelType w:val="hybridMultilevel"/>
    <w:tmpl w:val="2BF6E844"/>
    <w:lvl w:ilvl="0" w:tplc="EC24A8CC">
      <w:start w:val="4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4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55012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6070"/>
    <w:rsid w:val="00002E36"/>
    <w:rsid w:val="002F6070"/>
    <w:rsid w:val="00315B22"/>
    <w:rsid w:val="00C035A0"/>
    <w:rsid w:val="00CD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3D840E3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317</Words>
  <Characters>1746</Characters>
  <Application>Microsoft Office Word</Application>
  <DocSecurity>0</DocSecurity>
  <Lines>14</Lines>
  <Paragraphs>4</Paragraphs>
  <ScaleCrop>false</ScaleCrop>
  <Company>Crystal Decisions</Company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4</cp:revision>
  <dcterms:created xsi:type="dcterms:W3CDTF">2026-09-25T00:23:00Z</dcterms:created>
  <dcterms:modified xsi:type="dcterms:W3CDTF">2026-10-16T17:37:00Z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01C2D35AF44DC8546069FCCFAB82437E8ACBADAC4DA8C9ECB7A0F52D2EE4E0E3C8DC0ACB64F953634758AEA398DED891ECCC9EB45D3F9869637195F1273E2DC1A7A299B99D15BB02862A9A135A2F4920FFB10334F98B103305335A354338FDEAA4A6BF7668DB61C8BF2D03F912ECF562239AEA0F7CB88BC136C10106C1CA8C7</vt:lpwstr>
  </property>
  <property fmtid="{D5CDD505-2E9C-101B-9397-08002B2CF9AE}" pid="3" name="Business Objects Context Information1">
    <vt:lpwstr>EF9F2B193562590C4810A3722851FA1387D6A20331F0928CB92CCD39F3CF4B72FFF6C7822CF7A5551B7B7EEE8A76FED0793F2D82E90AC60823EBD88DFA407F56F46AFC91CCE0D9DF7C6910DDF0F67C1045404ABC3908D068A364B03610C8FFDA78C</vt:lpwstr>
  </property>
</Properties>
</file>