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DA0588" w14:textId="77777777" w:rsidR="000F1223" w:rsidRDefault="000F1223">
      <w:pPr>
        <w:widowControl w:val="0"/>
        <w:pBdr>
          <w:bottom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</w:pPr>
    </w:p>
    <w:p w14:paraId="4CDB094B" w14:textId="77777777" w:rsidR="000F1223" w:rsidRDefault="000F1223">
      <w:pPr>
        <w:widowControl w:val="0"/>
        <w:pBdr>
          <w:bottom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</w:pPr>
    </w:p>
    <w:p w14:paraId="30CA5879" w14:textId="534FEE3C" w:rsidR="00BB511F" w:rsidRDefault="002F5FFB">
      <w:pPr>
        <w:widowControl w:val="0"/>
        <w:pBdr>
          <w:bottom w:val="single" w:sz="8" w:space="0" w:color="000000"/>
        </w:pBd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</w:pPr>
      <w:r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  <w:t xml:space="preserve">ENDOSO </w:t>
      </w:r>
      <w:r w:rsidR="00F85E3A">
        <w:rPr>
          <w:rFonts w:ascii="Times New Roman" w:eastAsia="Times New Roman" w:hAnsi="Times New Roman" w:cs="Arial"/>
          <w:b/>
          <w:color w:val="000000"/>
          <w:kern w:val="2"/>
          <w:sz w:val="17"/>
          <w:szCs w:val="24"/>
        </w:rPr>
        <w:t>GLOBAL ULTRA.</w:t>
      </w:r>
    </w:p>
    <w:p w14:paraId="073CA958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Mediante el presente endoso (refi</w:t>
      </w:r>
      <w:r>
        <w:rPr>
          <w:rFonts w:ascii="Arial Narrow" w:hAnsi="Arial Narrow" w:cs="Arial Narrow"/>
          <w:color w:val="000000"/>
          <w:sz w:val="18"/>
          <w:szCs w:val="18"/>
        </w:rPr>
        <w:t>é</w:t>
      </w:r>
      <w:r>
        <w:rPr>
          <w:rFonts w:ascii="Times New Roman" w:hAnsi="Times New Roman"/>
          <w:color w:val="000000"/>
          <w:sz w:val="18"/>
          <w:szCs w:val="18"/>
        </w:rPr>
        <w:t>rase a las Condiciones Particulares de su p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liza), consta y queda entendido que a la p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liza de la cual forma parte el presente endoso se le agregan las siguientes coberturas:</w:t>
      </w:r>
    </w:p>
    <w:p w14:paraId="3D3936FD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color w:val="000000"/>
          <w:sz w:val="18"/>
          <w:szCs w:val="18"/>
        </w:rPr>
      </w:pPr>
    </w:p>
    <w:p w14:paraId="56FF4D38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 Narrow" w:hAnsi="Arial Narrow" w:cs="Arial Narrow"/>
          <w:b/>
          <w:bCs/>
          <w:color w:val="000000"/>
          <w:sz w:val="18"/>
          <w:szCs w:val="18"/>
        </w:rPr>
      </w:pPr>
      <w:r>
        <w:rPr>
          <w:rFonts w:ascii="Arial Narrow" w:hAnsi="Arial Narrow" w:cs="Arial Narrow"/>
          <w:b/>
          <w:bCs/>
          <w:color w:val="000000"/>
          <w:sz w:val="18"/>
          <w:szCs w:val="18"/>
        </w:rPr>
        <w:t xml:space="preserve">AUTO DE ALQUILER POR COLISIÓN, VUELCO O COMPRENSIVO, EXCLUYENDO HURTO O ROBO TOTAL: </w:t>
      </w:r>
    </w:p>
    <w:p w14:paraId="1B4237DC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b/>
          <w:bCs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 xml:space="preserve">En caso de colisión o vuelco del vehículo asegurado, Aseguradora Global por medio de orden escrita a una arrendadora contratada según lo convenido entre (Aseguradora y Arrendadora), hará efectivo el alquiler de un </w:t>
      </w:r>
      <w:r>
        <w:rPr>
          <w:rFonts w:ascii="Arial Narrow" w:hAnsi="Arial Narrow" w:cs="Arial Narrow"/>
          <w:b/>
          <w:bCs/>
          <w:color w:val="000000"/>
          <w:sz w:val="18"/>
          <w:szCs w:val="18"/>
        </w:rPr>
        <w:t xml:space="preserve">auto sedán, clase </w:t>
      </w:r>
      <w:proofErr w:type="spellStart"/>
      <w:r>
        <w:rPr>
          <w:rFonts w:ascii="Arial Narrow" w:hAnsi="Arial Narrow" w:cs="Arial Narrow"/>
          <w:b/>
          <w:bCs/>
          <w:color w:val="000000"/>
          <w:sz w:val="18"/>
          <w:szCs w:val="18"/>
        </w:rPr>
        <w:t>semi-lujo</w:t>
      </w:r>
      <w:proofErr w:type="spellEnd"/>
      <w:r>
        <w:rPr>
          <w:rFonts w:ascii="Arial Narrow" w:hAnsi="Arial Narrow" w:cs="Arial Narrow"/>
          <w:b/>
          <w:bCs/>
          <w:color w:val="000000"/>
          <w:sz w:val="18"/>
          <w:szCs w:val="18"/>
        </w:rPr>
        <w:t xml:space="preserve">, de cuatro puertas, automático hasta por quince días (15) consecutivos o un auto sedán, compacto de cuatro puertas, manual hasta por treinta (30) días consecutivos. </w:t>
      </w:r>
    </w:p>
    <w:p w14:paraId="5665B695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</w:p>
    <w:p w14:paraId="171A4CCC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left="1297" w:hanging="58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Este endoso cubrirá:</w:t>
      </w:r>
    </w:p>
    <w:p w14:paraId="6700D957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a) Siempre y cuando el asegurado sea mayor de 25 años.</w:t>
      </w:r>
    </w:p>
    <w:p w14:paraId="269ED764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b) Si el auto asegurado tiene cobertura de colisión y la pérdida asegurada es mayor que el deducible aplicable.</w:t>
      </w:r>
    </w:p>
    <w:p w14:paraId="36B9E9AD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c) El alquiler aplica cuando el auto haya ingresado al taller (y estén las piezas disponibles para la reparación), y solo hasta el límite máximo de los días estipulados y la compañía no está obligada a extender los días de auto de alquiler debido a  algún atraso por falta de repuestos en el mercado, atrasos en el taller de reparación o circunstancias que estén fuera del control de la compañía.</w:t>
      </w:r>
    </w:p>
    <w:p w14:paraId="15465D3A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d) El costo de alquiler y seguro básico estipulado por la arrendadora (</w:t>
      </w:r>
      <w:proofErr w:type="spellStart"/>
      <w:r>
        <w:rPr>
          <w:rFonts w:ascii="Arial Narrow" w:hAnsi="Arial Narrow" w:cs="Arial Narrow"/>
          <w:color w:val="000000"/>
          <w:sz w:val="18"/>
          <w:szCs w:val="18"/>
        </w:rPr>
        <w:t>Resp</w:t>
      </w:r>
      <w:proofErr w:type="spellEnd"/>
      <w:r>
        <w:rPr>
          <w:rFonts w:ascii="Arial Narrow" w:hAnsi="Arial Narrow" w:cs="Arial Narrow"/>
          <w:color w:val="000000"/>
          <w:sz w:val="18"/>
          <w:szCs w:val="18"/>
        </w:rPr>
        <w:t>. Civil, Comprensivo y Colisión).  El Asegurado correrá únicamente con el gasto de gasolina, infracciones, cualquier cobertura adicional de seguro exigido (exoneración de deducibles, gastos médicos, etc.), y cualquier otro gasto no descrito en este beneficio.</w:t>
      </w:r>
    </w:p>
    <w:p w14:paraId="47734992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Este endoso no cubre en caso de pérdidas totales.</w:t>
      </w:r>
    </w:p>
    <w:p w14:paraId="2CDA352A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En caso de no devolver el auto alquilado, la compañía arrendadora se reserva el derecho de interponer cualquier acción legal.</w:t>
      </w:r>
    </w:p>
    <w:p w14:paraId="4A365EE7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</w:p>
    <w:p w14:paraId="22E3AB2C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b/>
          <w:bCs/>
          <w:color w:val="000000"/>
          <w:sz w:val="18"/>
          <w:szCs w:val="18"/>
        </w:rPr>
        <w:t>REEMBOLSO DE DEDUCIBLE PAGADO, AL 100% POR NO CULPABILIDAD.</w:t>
      </w:r>
      <w:r>
        <w:rPr>
          <w:rFonts w:ascii="Arial Narrow" w:hAnsi="Arial Narrow" w:cs="Arial Narrow"/>
          <w:color w:val="000000"/>
          <w:sz w:val="18"/>
          <w:szCs w:val="18"/>
        </w:rPr>
        <w:t xml:space="preserve"> (debe existir contraparte o tercero (s) involucrados (s)):</w:t>
      </w:r>
    </w:p>
    <w:p w14:paraId="132A7601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 xml:space="preserve">En caso de reclamos en los que el asegurado no sea culpable de una colisión cubierta bajo las coberturas de esta póliza y cuyos gastos superen el deducible originalmente pactado en la misma, Aseguradora Global, aun cuando no recupere de la otra parte, reembolsará al asegurado el 100% del deducible.  El asegurado debe presentar el original de la resolución de </w:t>
      </w:r>
      <w:proofErr w:type="spellStart"/>
      <w:r>
        <w:rPr>
          <w:rFonts w:ascii="Arial Narrow" w:hAnsi="Arial Narrow" w:cs="Arial Narrow"/>
          <w:color w:val="000000"/>
          <w:sz w:val="18"/>
          <w:szCs w:val="18"/>
        </w:rPr>
        <w:t>transito</w:t>
      </w:r>
      <w:proofErr w:type="spellEnd"/>
      <w:r>
        <w:rPr>
          <w:rFonts w:ascii="Arial Narrow" w:hAnsi="Arial Narrow" w:cs="Arial Narrow"/>
          <w:color w:val="000000"/>
          <w:sz w:val="18"/>
          <w:szCs w:val="18"/>
        </w:rPr>
        <w:t xml:space="preserve"> o autoridad competente a su favor, dentro de los cuarenta y cinco (45) días posteriores a la fecha del juicio.</w:t>
      </w:r>
    </w:p>
    <w:p w14:paraId="5EFDAE9F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Este beneficio no aplica mediante la presentación de un FUD (Formulario Único de Accidentes de Tránsito Menor) a favor del asegurado.</w:t>
      </w:r>
    </w:p>
    <w:p w14:paraId="4520F4AF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</w:p>
    <w:p w14:paraId="1C57BF22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b/>
          <w:bCs/>
          <w:color w:val="000000"/>
          <w:sz w:val="18"/>
          <w:szCs w:val="18"/>
        </w:rPr>
      </w:pPr>
      <w:r>
        <w:rPr>
          <w:rFonts w:ascii="Arial Narrow" w:hAnsi="Arial Narrow" w:cs="Arial Narrow"/>
          <w:b/>
          <w:bCs/>
          <w:color w:val="000000"/>
          <w:sz w:val="18"/>
          <w:szCs w:val="18"/>
        </w:rPr>
        <w:t>DESCUENTO EN DEDUCIBLE:</w:t>
      </w:r>
    </w:p>
    <w:p w14:paraId="6D4C41DB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Se concederá descuento del 50% del deducible de la cobertura de colisión o vuelco si al momento del accidente el automóvil es conducido por una dama mayor de 25 años y menor de 60 años.  Debe haber parte policivo o inspección por parte de asistencia Global.</w:t>
      </w:r>
    </w:p>
    <w:p w14:paraId="21876BD7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left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Recargo del 50% en el deducible de colisión para conductor menor de 25 años, salvo esté declarado mediante endoso como operador sustituto.  Solo se recarga el deducible de colisión y no se recarga a los menores de 25 años que estén declarados. (no más de 1 conductor declarado bajo esta condición).</w:t>
      </w:r>
    </w:p>
    <w:p w14:paraId="6340E58E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Arial Narrow" w:hAnsi="Arial Narrow" w:cs="Arial Narrow"/>
          <w:color w:val="000000"/>
          <w:sz w:val="18"/>
          <w:szCs w:val="18"/>
        </w:rPr>
      </w:pPr>
      <w:r>
        <w:rPr>
          <w:rFonts w:ascii="Arial Narrow" w:hAnsi="Arial Narrow" w:cs="Arial Narrow"/>
          <w:color w:val="000000"/>
          <w:sz w:val="18"/>
          <w:szCs w:val="18"/>
        </w:rPr>
        <w:t>Este beneficio no aplica mientras el vehículo asegurado se encuentre estacionado o no esté en circulación.</w:t>
      </w:r>
    </w:p>
    <w:p w14:paraId="4BB3593E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b/>
          <w:bCs/>
          <w:color w:val="000000"/>
          <w:sz w:val="18"/>
          <w:szCs w:val="18"/>
        </w:rPr>
      </w:pPr>
    </w:p>
    <w:p w14:paraId="3A738580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color w:val="000000"/>
          <w:sz w:val="18"/>
          <w:szCs w:val="18"/>
        </w:rPr>
      </w:pPr>
    </w:p>
    <w:p w14:paraId="7CD56181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color w:val="000000"/>
          <w:sz w:val="18"/>
          <w:szCs w:val="18"/>
        </w:rPr>
      </w:pPr>
    </w:p>
    <w:p w14:paraId="210A822F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color w:val="000000"/>
          <w:sz w:val="18"/>
          <w:szCs w:val="18"/>
        </w:rPr>
      </w:pPr>
    </w:p>
    <w:p w14:paraId="2B310357" w14:textId="77777777" w:rsidR="00F85E3A" w:rsidRDefault="00F85E3A" w:rsidP="00F85E3A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000000"/>
          <w:sz w:val="18"/>
          <w:szCs w:val="18"/>
        </w:rPr>
      </w:pPr>
      <w:r>
        <w:rPr>
          <w:rFonts w:ascii="Times New Roman" w:hAnsi="Times New Roman"/>
          <w:color w:val="000000"/>
          <w:sz w:val="18"/>
          <w:szCs w:val="18"/>
        </w:rPr>
        <w:t>Todos los dem</w:t>
      </w:r>
      <w:r>
        <w:rPr>
          <w:rFonts w:ascii="Arial Narrow" w:hAnsi="Arial Narrow" w:cs="Arial Narrow"/>
          <w:color w:val="000000"/>
          <w:sz w:val="18"/>
          <w:szCs w:val="18"/>
        </w:rPr>
        <w:t>á</w:t>
      </w:r>
      <w:r>
        <w:rPr>
          <w:rFonts w:ascii="Times New Roman" w:hAnsi="Times New Roman"/>
          <w:color w:val="000000"/>
          <w:sz w:val="18"/>
          <w:szCs w:val="18"/>
        </w:rPr>
        <w:t>s t</w:t>
      </w:r>
      <w:r>
        <w:rPr>
          <w:rFonts w:ascii="Arial Narrow" w:hAnsi="Arial Narrow" w:cs="Arial Narrow"/>
          <w:color w:val="000000"/>
          <w:sz w:val="18"/>
          <w:szCs w:val="18"/>
        </w:rPr>
        <w:t>é</w:t>
      </w:r>
      <w:r>
        <w:rPr>
          <w:rFonts w:ascii="Times New Roman" w:hAnsi="Times New Roman"/>
          <w:color w:val="000000"/>
          <w:sz w:val="18"/>
          <w:szCs w:val="18"/>
        </w:rPr>
        <w:t>rminos y condiciones de la p</w:t>
      </w:r>
      <w:r>
        <w:rPr>
          <w:rFonts w:ascii="Arial Narrow" w:hAnsi="Arial Narrow" w:cs="Arial Narrow"/>
          <w:color w:val="000000"/>
          <w:sz w:val="18"/>
          <w:szCs w:val="18"/>
        </w:rPr>
        <w:t>ó</w:t>
      </w:r>
      <w:r>
        <w:rPr>
          <w:rFonts w:ascii="Times New Roman" w:hAnsi="Times New Roman"/>
          <w:color w:val="000000"/>
          <w:sz w:val="18"/>
          <w:szCs w:val="18"/>
        </w:rPr>
        <w:t>liza permanecen sin ning</w:t>
      </w:r>
      <w:r>
        <w:rPr>
          <w:rFonts w:ascii="Arial Narrow" w:hAnsi="Arial Narrow" w:cs="Arial Narrow"/>
          <w:color w:val="000000"/>
          <w:sz w:val="18"/>
          <w:szCs w:val="18"/>
        </w:rPr>
        <w:t>ú</w:t>
      </w:r>
      <w:r>
        <w:rPr>
          <w:rFonts w:ascii="Times New Roman" w:hAnsi="Times New Roman"/>
          <w:color w:val="000000"/>
          <w:sz w:val="18"/>
          <w:szCs w:val="18"/>
        </w:rPr>
        <w:t>n cambio.</w:t>
      </w:r>
    </w:p>
    <w:p w14:paraId="74B5EDAE" w14:textId="77777777" w:rsidR="00BB511F" w:rsidRDefault="002F5FFB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Arial Narrow" w:eastAsia="Times New Roman" w:hAnsi="Arial Narrow" w:cs="Arial"/>
          <w:b/>
          <w:color w:val="000000"/>
          <w:kern w:val="2"/>
          <w:sz w:val="17"/>
          <w:szCs w:val="24"/>
        </w:rPr>
      </w:pPr>
      <w:r>
        <w:rPr>
          <w:rFonts w:ascii="Arial Narrow" w:eastAsia="Times New Roman" w:hAnsi="Arial Narrow" w:cs="Arial"/>
          <w:b/>
          <w:color w:val="000000"/>
          <w:kern w:val="2"/>
          <w:sz w:val="17"/>
          <w:szCs w:val="24"/>
        </w:rPr>
        <w:t>Firma de Aceptación,</w:t>
      </w:r>
    </w:p>
    <w:p w14:paraId="026C2107" w14:textId="65D49580" w:rsidR="00BB511F" w:rsidRDefault="00BB511F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color w:val="000000"/>
          <w:kern w:val="2"/>
          <w:sz w:val="17"/>
          <w:szCs w:val="24"/>
        </w:rPr>
      </w:pPr>
    </w:p>
    <w:tbl>
      <w:tblPr>
        <w:tblW w:w="0" w:type="auto"/>
        <w:tblBorders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4077"/>
        <w:gridCol w:w="2127"/>
        <w:gridCol w:w="4016"/>
      </w:tblGrid>
      <w:tr w:rsidR="007F23A2" w14:paraId="26B7B9F2" w14:textId="77777777" w:rsidTr="00B438B8">
        <w:trPr>
          <w:trHeight w:val="1030"/>
        </w:trPr>
        <w:tc>
          <w:tcPr>
            <w:tcW w:w="4077" w:type="dxa"/>
            <w:tcBorders>
              <w:top w:val="nil"/>
              <w:bottom w:val="single" w:sz="8" w:space="0" w:color="auto"/>
            </w:tcBorders>
            <w:shd w:val="clear" w:color="auto" w:fill="auto"/>
          </w:tcPr>
          <w:p w14:paraId="7A0EF3BF" w14:textId="77777777" w:rsidR="007F23A2" w:rsidRDefault="007F23A2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</w:p>
        </w:tc>
        <w:tc>
          <w:tcPr>
            <w:tcW w:w="2127" w:type="dxa"/>
            <w:tcBorders>
              <w:top w:val="nil"/>
              <w:bottom w:val="nil"/>
            </w:tcBorders>
            <w:shd w:val="clear" w:color="auto" w:fill="auto"/>
          </w:tcPr>
          <w:p w14:paraId="2AA9D91B" w14:textId="77777777" w:rsidR="007F23A2" w:rsidRDefault="007F23A2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/>
                <w:color w:val="000000"/>
                <w:kern w:val="2"/>
                <w:sz w:val="17"/>
                <w:szCs w:val="24"/>
              </w:rPr>
            </w:pPr>
          </w:p>
        </w:tc>
        <w:tc>
          <w:tcPr>
            <w:tcW w:w="4016" w:type="dxa"/>
            <w:tcBorders>
              <w:top w:val="nil"/>
              <w:bottom w:val="single" w:sz="8" w:space="0" w:color="auto"/>
            </w:tcBorders>
            <w:shd w:val="clear" w:color="auto" w:fill="auto"/>
          </w:tcPr>
          <w:p w14:paraId="50FA97E1" w14:textId="77777777" w:rsidR="007F23A2" w:rsidRDefault="007F23A2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</w:p>
          <w:p w14:paraId="38A17FFC" w14:textId="77777777" w:rsidR="007F23A2" w:rsidRDefault="00000000" w:rsidP="00B438B8">
            <w:pPr>
              <w:jc w:val="center"/>
              <w:rPr>
                <w:rFonts w:ascii="Arial Narrow" w:eastAsia="Times New Roman" w:hAnsi="Arial Narrow"/>
                <w:sz w:val="17"/>
                <w:szCs w:val="24"/>
              </w:rPr>
            </w:pPr>
            <w:r>
              <w:rPr>
                <w:rFonts w:ascii="Arial Narrow" w:eastAsia="Times New Roman" w:hAnsi="Arial Narrow"/>
                <w:sz w:val="17"/>
                <w:szCs w:val="24"/>
              </w:rPr>
              <w:pict w14:anchorId="4D881EB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1pt;height:37.6pt;mso-left-percent:-10001;mso-top-percent:-10001;mso-position-horizontal:absolute;mso-position-horizontal-relative:char;mso-position-vertical:absolute;mso-position-vertical-relative:line;mso-left-percent:-10001;mso-top-percent:-10001">
                  <v:imagedata r:id="rId6" o:title=""/>
                </v:shape>
              </w:pict>
            </w:r>
          </w:p>
        </w:tc>
      </w:tr>
      <w:tr w:rsidR="007F23A2" w14:paraId="769ABAA8" w14:textId="77777777" w:rsidTr="00B438B8">
        <w:tc>
          <w:tcPr>
            <w:tcW w:w="4077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716532C2" w14:textId="77777777" w:rsidR="007F23A2" w:rsidRDefault="007F23A2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  <w:r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  <w:t>Asegurado</w:t>
            </w:r>
          </w:p>
        </w:tc>
        <w:tc>
          <w:tcPr>
            <w:tcW w:w="2127" w:type="dxa"/>
            <w:tcBorders>
              <w:top w:val="nil"/>
            </w:tcBorders>
            <w:shd w:val="clear" w:color="auto" w:fill="auto"/>
          </w:tcPr>
          <w:p w14:paraId="52591F02" w14:textId="77777777" w:rsidR="007F23A2" w:rsidRDefault="007F23A2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Arial Narrow" w:eastAsia="Times New Roman" w:hAnsi="Arial Narrow"/>
                <w:color w:val="000000"/>
                <w:kern w:val="2"/>
                <w:sz w:val="17"/>
                <w:szCs w:val="24"/>
              </w:rPr>
            </w:pPr>
          </w:p>
        </w:tc>
        <w:tc>
          <w:tcPr>
            <w:tcW w:w="4016" w:type="dxa"/>
            <w:tcBorders>
              <w:top w:val="single" w:sz="8" w:space="0" w:color="auto"/>
              <w:bottom w:val="nil"/>
            </w:tcBorders>
            <w:shd w:val="clear" w:color="auto" w:fill="auto"/>
          </w:tcPr>
          <w:p w14:paraId="4007642C" w14:textId="77777777" w:rsidR="007F23A2" w:rsidRDefault="007F23A2" w:rsidP="00B438B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  <w:tab w:val="left" w:pos="2880"/>
                <w:tab w:val="left" w:pos="3240"/>
                <w:tab w:val="left" w:pos="3600"/>
                <w:tab w:val="left" w:pos="3960"/>
                <w:tab w:val="left" w:pos="4320"/>
                <w:tab w:val="left" w:pos="4680"/>
                <w:tab w:val="left" w:pos="5040"/>
                <w:tab w:val="left" w:pos="5400"/>
                <w:tab w:val="left" w:pos="5760"/>
                <w:tab w:val="left" w:pos="6120"/>
                <w:tab w:val="left" w:pos="6480"/>
                <w:tab w:val="left" w:pos="6840"/>
                <w:tab w:val="left" w:pos="7200"/>
                <w:tab w:val="left" w:pos="7560"/>
                <w:tab w:val="left" w:pos="7920"/>
                <w:tab w:val="left" w:pos="8280"/>
                <w:tab w:val="left" w:pos="8640"/>
                <w:tab w:val="left" w:pos="9000"/>
                <w:tab w:val="left" w:pos="9360"/>
                <w:tab w:val="left" w:pos="9720"/>
                <w:tab w:val="left" w:pos="1008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</w:pPr>
            <w:r>
              <w:rPr>
                <w:rFonts w:ascii="Arial Narrow" w:eastAsia="Times New Roman" w:hAnsi="Arial Narrow"/>
                <w:b/>
                <w:bCs/>
                <w:color w:val="000000"/>
                <w:kern w:val="2"/>
                <w:sz w:val="17"/>
                <w:szCs w:val="24"/>
              </w:rPr>
              <w:t>Aseguradora Global S.A.</w:t>
            </w:r>
          </w:p>
        </w:tc>
      </w:tr>
    </w:tbl>
    <w:p w14:paraId="27784F54" w14:textId="77777777" w:rsidR="007F23A2" w:rsidRDefault="007F23A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</w:tabs>
        <w:autoSpaceDE w:val="0"/>
        <w:autoSpaceDN w:val="0"/>
        <w:adjustRightInd w:val="0"/>
        <w:spacing w:after="0" w:line="240" w:lineRule="auto"/>
        <w:jc w:val="both"/>
        <w:rPr>
          <w:rFonts w:ascii="Times New Roman" w:eastAsia="Times New Roman" w:hAnsi="Times New Roman" w:cs="Arial"/>
          <w:color w:val="000000"/>
          <w:kern w:val="2"/>
          <w:sz w:val="17"/>
          <w:szCs w:val="24"/>
        </w:rPr>
      </w:pPr>
    </w:p>
    <w:sectPr w:rsidR="007F23A2" w:rsidSect="000F1223">
      <w:headerReference w:type="default" r:id="rId7"/>
      <w:footerReference w:type="default" r:id="rId8"/>
      <w:type w:val="continuous"/>
      <w:pgSz w:w="12240" w:h="15840"/>
      <w:pgMar w:top="1440" w:right="1080" w:bottom="1440" w:left="108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51BF5D" w14:textId="77777777" w:rsidR="00F919D4" w:rsidRDefault="00F919D4" w:rsidP="00821E7B">
      <w:pPr>
        <w:spacing w:after="0" w:line="240" w:lineRule="auto"/>
      </w:pPr>
      <w:r>
        <w:separator/>
      </w:r>
    </w:p>
  </w:endnote>
  <w:endnote w:type="continuationSeparator" w:id="0">
    <w:p w14:paraId="23CC0E27" w14:textId="77777777" w:rsidR="00F919D4" w:rsidRDefault="00F919D4" w:rsidP="00821E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29D1DD" w14:textId="77777777" w:rsidR="00660063" w:rsidRDefault="00660063" w:rsidP="00660063">
    <w:pPr>
      <w:widowControl w:val="0"/>
      <w:tabs>
        <w:tab w:val="center" w:pos="4419"/>
        <w:tab w:val="right" w:pos="8838"/>
        <w:tab w:val="left" w:pos="9000"/>
        <w:tab w:val="left" w:pos="9360"/>
      </w:tabs>
      <w:autoSpaceDE w:val="0"/>
      <w:autoSpaceDN w:val="0"/>
      <w:adjustRightInd w:val="0"/>
      <w:spacing w:after="0" w:line="240" w:lineRule="auto"/>
      <w:rPr>
        <w:rFonts w:ascii="Arial" w:eastAsia="Times New Roman" w:hAnsi="Arial"/>
        <w:b/>
        <w:color w:val="365F91"/>
        <w:kern w:val="2"/>
        <w:sz w:val="13"/>
        <w:szCs w:val="24"/>
      </w:rPr>
    </w:pPr>
    <w:r>
      <w:rPr>
        <w:rFonts w:ascii="Arial" w:eastAsia="Times New Roman" w:hAnsi="Arial"/>
        <w:b/>
        <w:color w:val="365F91"/>
        <w:kern w:val="2"/>
        <w:sz w:val="13"/>
        <w:szCs w:val="24"/>
      </w:rPr>
      <w:t>Código de Póliza:  AUTO</w:t>
    </w:r>
    <w:r>
      <w:rPr>
        <w:rFonts w:ascii="Arial" w:eastAsia="Times New Roman" w:hAnsi="Arial"/>
        <w:b/>
        <w:color w:val="365F91"/>
        <w:kern w:val="2"/>
        <w:sz w:val="13"/>
        <w:szCs w:val="24"/>
      </w:rPr>
      <w:noBreakHyphen/>
      <w:t>2018AG</w:t>
    </w:r>
  </w:p>
  <w:p w14:paraId="1A651096" w14:textId="77777777" w:rsidR="00660063" w:rsidRDefault="00660063" w:rsidP="00660063">
    <w:pPr>
      <w:widowControl w:val="0"/>
      <w:tabs>
        <w:tab w:val="center" w:pos="4419"/>
        <w:tab w:val="right" w:pos="8838"/>
        <w:tab w:val="left" w:pos="9000"/>
        <w:tab w:val="left" w:pos="9360"/>
      </w:tabs>
      <w:autoSpaceDE w:val="0"/>
      <w:autoSpaceDN w:val="0"/>
      <w:adjustRightInd w:val="0"/>
      <w:spacing w:after="0" w:line="240" w:lineRule="auto"/>
    </w:pPr>
    <w:r>
      <w:rPr>
        <w:rFonts w:ascii="Arial" w:eastAsia="Times New Roman" w:hAnsi="Arial"/>
        <w:color w:val="365F91"/>
        <w:kern w:val="2"/>
        <w:sz w:val="11"/>
        <w:szCs w:val="24"/>
      </w:rPr>
      <w:t>Regulado y Supervisado por la Superintendencia de Seguros y Reaseguros de Panamá</w:t>
    </w:r>
    <w:r w:rsidR="00000000">
      <w:rPr>
        <w:noProof/>
      </w:rPr>
      <w:pict w14:anchorId="3CFDFE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33.5pt;margin-top:767.55pt;width:553.45pt;height:6.4pt;z-index:2;mso-position-horizontal-relative:page;mso-position-vertical-relative:page" o:preferrelative="f" o:allowincell="f">
          <v:imagedata r:id="rId1" o:title=""/>
          <o:lock v:ext="edit" aspectratio="f"/>
          <w10:wrap anchorx="page" anchory="page"/>
        </v:shape>
      </w:pict>
    </w:r>
  </w:p>
  <w:p w14:paraId="1945D07A" w14:textId="77777777" w:rsidR="00660063" w:rsidRDefault="0066006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0D6DFD" w14:textId="77777777" w:rsidR="00F919D4" w:rsidRDefault="00F919D4" w:rsidP="00821E7B">
      <w:pPr>
        <w:spacing w:after="0" w:line="240" w:lineRule="auto"/>
      </w:pPr>
      <w:r>
        <w:separator/>
      </w:r>
    </w:p>
  </w:footnote>
  <w:footnote w:type="continuationSeparator" w:id="0">
    <w:p w14:paraId="0D24246C" w14:textId="77777777" w:rsidR="00F919D4" w:rsidRDefault="00F919D4" w:rsidP="00821E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91E97" w14:textId="77777777" w:rsidR="002C2F1A" w:rsidRDefault="002C2F1A" w:rsidP="00821E7B">
    <w:pPr>
      <w:widowControl w:val="0"/>
      <w:tabs>
        <w:tab w:val="left" w:pos="360"/>
        <w:tab w:val="left" w:pos="720"/>
      </w:tabs>
      <w:autoSpaceDE w:val="0"/>
      <w:autoSpaceDN w:val="0"/>
      <w:adjustRightInd w:val="0"/>
      <w:spacing w:after="0" w:line="240" w:lineRule="auto"/>
      <w:jc w:val="right"/>
      <w:rPr>
        <w:rFonts w:ascii="Arial Narrow" w:eastAsia="Times New Roman" w:hAnsi="Arial Narrow"/>
        <w:color w:val="000000"/>
        <w:kern w:val="2"/>
        <w:sz w:val="19"/>
        <w:szCs w:val="24"/>
      </w:rPr>
    </w:pPr>
  </w:p>
  <w:p w14:paraId="79EA7A70" w14:textId="77777777" w:rsidR="002C2F1A" w:rsidRDefault="002C2F1A" w:rsidP="00821E7B">
    <w:pPr>
      <w:widowControl w:val="0"/>
      <w:tabs>
        <w:tab w:val="left" w:pos="360"/>
        <w:tab w:val="left" w:pos="720"/>
      </w:tabs>
      <w:autoSpaceDE w:val="0"/>
      <w:autoSpaceDN w:val="0"/>
      <w:adjustRightInd w:val="0"/>
      <w:spacing w:after="0" w:line="240" w:lineRule="auto"/>
      <w:jc w:val="right"/>
      <w:rPr>
        <w:rFonts w:ascii="Arial Narrow" w:eastAsia="Times New Roman" w:hAnsi="Arial Narrow"/>
        <w:color w:val="000000"/>
        <w:kern w:val="2"/>
        <w:sz w:val="19"/>
        <w:szCs w:val="24"/>
      </w:rPr>
    </w:pPr>
  </w:p>
  <w:p w14:paraId="73009A19" w14:textId="3986897A" w:rsidR="00821E7B" w:rsidRDefault="00821E7B" w:rsidP="002C2F1A">
    <w:pPr>
      <w:widowControl w:val="0"/>
      <w:tabs>
        <w:tab w:val="left" w:pos="360"/>
        <w:tab w:val="left" w:pos="720"/>
      </w:tabs>
      <w:autoSpaceDE w:val="0"/>
      <w:autoSpaceDN w:val="0"/>
      <w:adjustRightInd w:val="0"/>
      <w:spacing w:after="0" w:line="240" w:lineRule="auto"/>
      <w:jc w:val="right"/>
    </w:pPr>
    <w:r>
      <w:rPr>
        <w:rFonts w:ascii="Arial Narrow" w:eastAsia="Times New Roman" w:hAnsi="Arial Narrow"/>
        <w:color w:val="000000"/>
        <w:kern w:val="2"/>
        <w:sz w:val="19"/>
        <w:szCs w:val="24"/>
      </w:rPr>
      <w:t>No Póliza :</w:t>
    </w:r>
    <w:r w:rsidR="00000000">
      <w:rPr>
        <w:noProof/>
      </w:rPr>
      <w:pict w14:anchorId="3B5077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36.75pt;margin-top:24pt;width:177.75pt;height:47.25pt;z-index:1;mso-position-horizontal-relative:page;mso-position-vertical-relative:page" o:preferrelative="f" o:allowincell="f">
          <v:imagedata r:id="rId1" o:title=""/>
          <o:lock v:ext="edit" aspectratio="f"/>
          <w10:wrap anchorx="page" anchory="page"/>
        </v:shape>
      </w:pict>
    </w:r>
    <w:r>
      <w:rPr>
        <w:rFonts w:ascii="Arial Narrow" w:eastAsia="Times New Roman" w:hAnsi="Arial Narrow"/>
        <w:color w:val="000000"/>
        <w:kern w:val="2"/>
        <w:sz w:val="19"/>
        <w:szCs w:val="24"/>
      </w:rPr>
      <w:t xml:space="preserve"> {</w:t>
    </w:r>
    <w:proofErr w:type="spellStart"/>
    <w:r>
      <w:rPr>
        <w:rFonts w:ascii="Arial Narrow" w:eastAsia="Times New Roman" w:hAnsi="Arial Narrow"/>
        <w:color w:val="000000"/>
        <w:kern w:val="2"/>
        <w:sz w:val="19"/>
        <w:szCs w:val="24"/>
      </w:rPr>
      <w:t>custom.Poliza</w:t>
    </w:r>
    <w:proofErr w:type="spellEnd"/>
    <w:r>
      <w:rPr>
        <w:rFonts w:ascii="Arial Narrow" w:eastAsia="Times New Roman" w:hAnsi="Arial Narrow"/>
        <w:color w:val="000000"/>
        <w:kern w:val="2"/>
        <w:sz w:val="19"/>
        <w:szCs w:val="24"/>
      </w:rPr>
      <w:t>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spelling="clean"/>
  <w:doNotTrackMoves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5FFB"/>
    <w:rsid w:val="000F1223"/>
    <w:rsid w:val="002C2F1A"/>
    <w:rsid w:val="002F5FFB"/>
    <w:rsid w:val="003F4C34"/>
    <w:rsid w:val="00660063"/>
    <w:rsid w:val="00745EEA"/>
    <w:rsid w:val="007F23A2"/>
    <w:rsid w:val="00821E7B"/>
    <w:rsid w:val="008A147A"/>
    <w:rsid w:val="00A143C4"/>
    <w:rsid w:val="00B838B6"/>
    <w:rsid w:val="00BB511F"/>
    <w:rsid w:val="00D52CEB"/>
    <w:rsid w:val="00F85E3A"/>
    <w:rsid w:val="00F9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2B75C9D7"/>
  <w14:defaultImageDpi w14:val="0"/>
  <w15:docId w15:val="{BBEF9049-0529-464C-80AE-89A1FF7C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Malgun Gothic" w:hAnsi="Calibri" w:cs="Times New Roman"/>
        <w:lang w:val="es-NI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21E7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21E7B"/>
  </w:style>
  <w:style w:type="paragraph" w:styleId="Piedepgina">
    <w:name w:val="footer"/>
    <w:basedOn w:val="Normal"/>
    <w:link w:val="PiedepginaCar"/>
    <w:uiPriority w:val="99"/>
    <w:unhideWhenUsed/>
    <w:rsid w:val="00821E7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21E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522</Words>
  <Characters>2876</Characters>
  <Application>Microsoft Office Word</Application>
  <DocSecurity>0</DocSecurity>
  <Lines>23</Lines>
  <Paragraphs>6</Paragraphs>
  <ScaleCrop>false</ScaleCrop>
  <Company>Crystal Decisions</Company>
  <LinksUpToDate>false</LinksUpToDate>
  <CharactersWithSpaces>3392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Crystal Reports</dc:creator>
  <cp:keywords/>
  <dc:description>Powered By Crystal</dc:description>
  <cp:lastModifiedBy>Michael Antonio Delgado Castro</cp:lastModifiedBy>
  <cp:revision>14</cp:revision>
  <dcterms:created xsi:type="dcterms:W3CDTF">2026-10-08T23:38:00Z</dcterms:created>
  <dcterms:modified xsi:type="dcterms:W3CDTF">2026-10-09T02:59:00Z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usiness Objects Context Information">
    <vt:lpwstr>01734361CD07C3C85B968AA4B2781C480C131A4BF1DCCE0484255B1E26629C81B52F8CFCC3D3F1E21695AB886E2B632E75747CB8D9898B794EB3A723CE67760DAA7FEDBF3A68C2998C163BB43E1A399D25DDCD8526274727383433CB8F9DC7229FC9278E3D759C75E5CABAFA1DF6717BA5BA18CC5EB3C240F779BA21571FAFA</vt:lpwstr>
  </property>
  <property fmtid="{D5CDD505-2E9C-101B-9397-08002B2CF9AE}" pid="3" name="Business Objects Context Information1">
    <vt:lpwstr>C41EE48CCF6AE120940092398EFD2F19BFCEB566FB13EB0B2E4056C0C9BC914AB347F9DB12453C84E811AABAEAF91B737137F9926CE0BDD01E5550BD8C033BB2C715F1DFC0B635C38AD1D00D554A428541A0B3346F82E66D6BC57B3028BB832E519F0587A1C7A2D997D9A0FA6778220F6A6</vt:lpwstr>
  </property>
</Properties>
</file>