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0858E2" w14:textId="01A2EF05" w:rsidR="00892D11" w:rsidRDefault="00892D11" w:rsidP="00892D11">
      <w:pPr>
        <w:spacing w:line="480" w:lineRule="auto"/>
      </w:pPr>
      <w:r>
        <w:t>FIGURE LEGENDS</w:t>
      </w:r>
    </w:p>
    <w:p w14:paraId="50F7CDBB" w14:textId="77777777" w:rsidR="00892D11" w:rsidRDefault="00892D11" w:rsidP="00892D11">
      <w:pPr>
        <w:spacing w:line="480" w:lineRule="auto"/>
      </w:pPr>
    </w:p>
    <w:p w14:paraId="513B1B8A" w14:textId="77777777" w:rsidR="00892D11" w:rsidRDefault="00892D11" w:rsidP="00892D11">
      <w:pPr>
        <w:spacing w:line="480" w:lineRule="auto"/>
      </w:pPr>
      <w:r>
        <w:t xml:space="preserve">FIGURE 1. Flowchart of patients included in the analytical dataset and the high feature (main) and low feature (sensitivity) datasets. Abbreviations: TSH: thyroid stimulating hormone; MMI: methimazole; PTU: propylthiouracil. </w:t>
      </w:r>
    </w:p>
    <w:p w14:paraId="037944EC" w14:textId="639C698D" w:rsidR="00892D11" w:rsidRDefault="00892D11" w:rsidP="00892D11">
      <w:pPr>
        <w:spacing w:line="480" w:lineRule="auto"/>
      </w:pPr>
      <w:r>
        <w:rPr>
          <w:vertAlign w:val="superscript"/>
        </w:rPr>
        <w:t>1</w:t>
      </w:r>
      <w:r>
        <w:t>Excluded patients with a history of thyroid cancer and/or a history of non-levothyroxine thyroid hormone use.</w:t>
      </w:r>
    </w:p>
    <w:p w14:paraId="46A31A5E" w14:textId="77777777" w:rsidR="00892D11" w:rsidRDefault="00892D11" w:rsidP="00892D11">
      <w:pPr>
        <w:spacing w:line="480" w:lineRule="auto"/>
      </w:pPr>
    </w:p>
    <w:p w14:paraId="3AA58DD9" w14:textId="7C38138D" w:rsidR="00892D11" w:rsidRDefault="00892D11" w:rsidP="00892D11">
      <w:pPr>
        <w:spacing w:line="480" w:lineRule="auto"/>
      </w:pPr>
      <w:r>
        <w:t>FIGURE 2</w:t>
      </w:r>
      <w:r w:rsidR="0026044A">
        <w:t xml:space="preserve"> (A – C)</w:t>
      </w:r>
      <w:r>
        <w:t xml:space="preserve">. Panel of </w:t>
      </w:r>
      <w:r w:rsidR="008602B7">
        <w:t xml:space="preserve">ROC plots comparing three models (elastic net, random forest, XGBoost) </w:t>
      </w:r>
      <w:r w:rsidR="00BD4A20">
        <w:t>on TSH outcomes</w:t>
      </w:r>
      <w:r w:rsidR="0026044A">
        <w:t xml:space="preserve"> (A: out-of-range, B: TSH &gt; aaULN, C: TSH &lt; 0.4 mIU/L)</w:t>
      </w:r>
      <w:r w:rsidR="00BD4A20">
        <w:t xml:space="preserve">. The winning model was determined by highest AUC. </w:t>
      </w:r>
      <w:r w:rsidR="00FA1BA5">
        <w:t>Abbreviations: ROC: receiver operating characteristic; AUC: area under the curve</w:t>
      </w:r>
      <w:r w:rsidR="0026044A">
        <w:t xml:space="preserve">; </w:t>
      </w:r>
      <w:r w:rsidR="0058013D">
        <w:t xml:space="preserve">OOR: out-of-range; </w:t>
      </w:r>
      <w:r w:rsidR="00174CE8">
        <w:t xml:space="preserve">TSH: thyroid stimulating hormone; </w:t>
      </w:r>
      <w:r w:rsidR="0026044A">
        <w:t>aaULN: age-adjusted upper limit of normal.</w:t>
      </w:r>
    </w:p>
    <w:p w14:paraId="7A2F3506" w14:textId="77777777" w:rsidR="0016184C" w:rsidRDefault="0016184C" w:rsidP="00892D11">
      <w:pPr>
        <w:spacing w:line="480" w:lineRule="auto"/>
      </w:pPr>
    </w:p>
    <w:p w14:paraId="5207FD29" w14:textId="6E6C3746" w:rsidR="0016184C" w:rsidRDefault="0016184C" w:rsidP="00892D11">
      <w:pPr>
        <w:spacing w:line="480" w:lineRule="auto"/>
      </w:pPr>
      <w:r>
        <w:t>FIGURE 3</w:t>
      </w:r>
      <w:r w:rsidR="0026044A">
        <w:t xml:space="preserve"> (A – C)</w:t>
      </w:r>
      <w:r>
        <w:t>.</w:t>
      </w:r>
      <w:r w:rsidR="007E5319">
        <w:t xml:space="preserve"> Panel of variable importance bar plots of the winning models for each TSH outcome </w:t>
      </w:r>
      <w:r w:rsidR="007E5319">
        <w:t>(A: out-of-range, B: TSH &gt; aaULN, C: TSH &lt; 0.4 mIU/L).</w:t>
      </w:r>
      <w:r w:rsidR="002D4945">
        <w:t xml:space="preserve"> </w:t>
      </w:r>
      <w:r w:rsidR="00D05BCF">
        <w:t xml:space="preserve">The model algorithm is indicated above each plot. </w:t>
      </w:r>
      <w:r w:rsidR="00310257">
        <w:t xml:space="preserve">LT4-TSH time diff is a </w:t>
      </w:r>
      <w:r w:rsidR="00B24217">
        <w:t>categorical measure of the number of days between LT4 prescription and TSH collection.</w:t>
      </w:r>
      <w:r w:rsidR="00310257">
        <w:t xml:space="preserve"> </w:t>
      </w:r>
      <w:r w:rsidR="005E5ECA">
        <w:t xml:space="preserve">Abbreviations: OOR: out-of-range; aaULN: age-adjusted upper limit of normal; TSH: thyroid stimulating hormone; </w:t>
      </w:r>
      <w:r w:rsidR="000E73A4">
        <w:t xml:space="preserve">LT4: levothyroxine; eGFR: estimated glomerular filtration rate; </w:t>
      </w:r>
      <w:proofErr w:type="spellStart"/>
      <w:r w:rsidR="000E73A4">
        <w:t>Antihtn</w:t>
      </w:r>
      <w:proofErr w:type="spellEnd"/>
      <w:r w:rsidR="000E73A4">
        <w:t xml:space="preserve">: antihypertensive; </w:t>
      </w:r>
      <w:r w:rsidR="00310257">
        <w:t xml:space="preserve">PPI: proton pump inhibitor; </w:t>
      </w:r>
      <w:r w:rsidR="00A236F7">
        <w:t xml:space="preserve">BP: blood pressure; </w:t>
      </w:r>
      <w:proofErr w:type="spellStart"/>
      <w:r w:rsidR="00A236F7">
        <w:t>alk</w:t>
      </w:r>
      <w:proofErr w:type="spellEnd"/>
      <w:r w:rsidR="00A236F7">
        <w:t xml:space="preserve"> </w:t>
      </w:r>
      <w:proofErr w:type="spellStart"/>
      <w:r w:rsidR="00A236F7">
        <w:t>phos</w:t>
      </w:r>
      <w:proofErr w:type="spellEnd"/>
      <w:r w:rsidR="00A236F7">
        <w:t xml:space="preserve">: alkaline phosphatase; AST: </w:t>
      </w:r>
      <w:r w:rsidR="00B3475C">
        <w:t xml:space="preserve">aspartate aminotransferase; BUN: blood urea nitrogen; WBC: white blood cell count; ALT: alanine aminotransferase; </w:t>
      </w:r>
      <w:proofErr w:type="spellStart"/>
      <w:r w:rsidR="00302BC2">
        <w:t>antidep</w:t>
      </w:r>
      <w:proofErr w:type="spellEnd"/>
      <w:r w:rsidR="00302BC2">
        <w:t>/anxiety med: antidepressant and/or anti-anxiety medication.</w:t>
      </w:r>
      <w:r w:rsidR="00174CE8">
        <w:t xml:space="preserve"> </w:t>
      </w:r>
    </w:p>
    <w:p w14:paraId="61DB9685" w14:textId="77777777" w:rsidR="00D65479" w:rsidRDefault="00D65479" w:rsidP="00892D11">
      <w:pPr>
        <w:spacing w:line="480" w:lineRule="auto"/>
      </w:pPr>
    </w:p>
    <w:p w14:paraId="48D5EB54" w14:textId="0398979A" w:rsidR="00D65479" w:rsidRDefault="00D65479" w:rsidP="00D65479">
      <w:pPr>
        <w:spacing w:line="480" w:lineRule="auto"/>
      </w:pPr>
      <w:r>
        <w:t xml:space="preserve">FIGURE </w:t>
      </w:r>
      <w:r>
        <w:t>4</w:t>
      </w:r>
      <w:r>
        <w:t xml:space="preserve"> (A – C). Panel of variable importance </w:t>
      </w:r>
      <w:proofErr w:type="spellStart"/>
      <w:r>
        <w:t>b</w:t>
      </w:r>
      <w:r>
        <w:t>eeswarm</w:t>
      </w:r>
      <w:proofErr w:type="spellEnd"/>
      <w:r>
        <w:t xml:space="preserve"> plots</w:t>
      </w:r>
      <w:r>
        <w:t xml:space="preserve"> of the winning models for each TSH outcome (A: out-of-range, B: TSH &gt; aaULN, C: TSH &lt; 0.4 mIU/L). The model algorithm is indicated above each plot. LT4-TSH time diff is a categorical measure of the number of days </w:t>
      </w:r>
      <w:r>
        <w:lastRenderedPageBreak/>
        <w:t xml:space="preserve">between LT4 prescription and TSH collection. Abbreviations: OOR: out-of-range; aaULN: age-adjusted upper limit of normal; TSH: thyroid stimulating hormone; LT4: levothyroxine; eGFR: estimated glomerular filtration rate; </w:t>
      </w:r>
      <w:proofErr w:type="spellStart"/>
      <w:r>
        <w:t>Antihtn</w:t>
      </w:r>
      <w:proofErr w:type="spellEnd"/>
      <w:r>
        <w:t xml:space="preserve">: antihypertensive; PPI: proton pump inhibitor; BP: blood pressure; </w:t>
      </w:r>
      <w:proofErr w:type="spellStart"/>
      <w:r>
        <w:t>alk</w:t>
      </w:r>
      <w:proofErr w:type="spellEnd"/>
      <w:r>
        <w:t xml:space="preserve"> </w:t>
      </w:r>
      <w:proofErr w:type="spellStart"/>
      <w:r>
        <w:t>phos</w:t>
      </w:r>
      <w:proofErr w:type="spellEnd"/>
      <w:r>
        <w:t xml:space="preserve">: alkaline phosphatase; AST: aspartate aminotransferase; BUN: blood urea nitrogen; WBC: white blood cell count; ALT: alanine aminotransferase; </w:t>
      </w:r>
      <w:proofErr w:type="spellStart"/>
      <w:r>
        <w:t>antidep</w:t>
      </w:r>
      <w:proofErr w:type="spellEnd"/>
      <w:r>
        <w:t xml:space="preserve">/anxiety med: antidepressant and/or anti-anxiety medication. </w:t>
      </w:r>
    </w:p>
    <w:p w14:paraId="360DC1F0" w14:textId="77777777" w:rsidR="00D65479" w:rsidRDefault="00D65479" w:rsidP="00892D11">
      <w:pPr>
        <w:spacing w:line="480" w:lineRule="auto"/>
      </w:pPr>
    </w:p>
    <w:sectPr w:rsidR="00D654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D11"/>
    <w:rsid w:val="000329F8"/>
    <w:rsid w:val="00063EFB"/>
    <w:rsid w:val="00063EFE"/>
    <w:rsid w:val="000708C8"/>
    <w:rsid w:val="0007373B"/>
    <w:rsid w:val="00081D3A"/>
    <w:rsid w:val="000A01A2"/>
    <w:rsid w:val="000E73A4"/>
    <w:rsid w:val="00107135"/>
    <w:rsid w:val="001109CC"/>
    <w:rsid w:val="00114886"/>
    <w:rsid w:val="00124D83"/>
    <w:rsid w:val="0016184C"/>
    <w:rsid w:val="0017494C"/>
    <w:rsid w:val="00174CE8"/>
    <w:rsid w:val="001902B8"/>
    <w:rsid w:val="00192D4C"/>
    <w:rsid w:val="001A7265"/>
    <w:rsid w:val="001C5BF1"/>
    <w:rsid w:val="0021461D"/>
    <w:rsid w:val="00217049"/>
    <w:rsid w:val="00247816"/>
    <w:rsid w:val="00254548"/>
    <w:rsid w:val="0026044A"/>
    <w:rsid w:val="00286744"/>
    <w:rsid w:val="00294087"/>
    <w:rsid w:val="002A4337"/>
    <w:rsid w:val="002A62BC"/>
    <w:rsid w:val="002B1BE0"/>
    <w:rsid w:val="002C4C36"/>
    <w:rsid w:val="002D4945"/>
    <w:rsid w:val="002D6547"/>
    <w:rsid w:val="002F307B"/>
    <w:rsid w:val="00302BC2"/>
    <w:rsid w:val="00310257"/>
    <w:rsid w:val="0031309E"/>
    <w:rsid w:val="00344752"/>
    <w:rsid w:val="00364D83"/>
    <w:rsid w:val="00365197"/>
    <w:rsid w:val="003672F4"/>
    <w:rsid w:val="00373366"/>
    <w:rsid w:val="0039267C"/>
    <w:rsid w:val="003B143C"/>
    <w:rsid w:val="003C3661"/>
    <w:rsid w:val="003D06D9"/>
    <w:rsid w:val="003D533D"/>
    <w:rsid w:val="003F7FBA"/>
    <w:rsid w:val="00420086"/>
    <w:rsid w:val="0045584D"/>
    <w:rsid w:val="00465329"/>
    <w:rsid w:val="0047092B"/>
    <w:rsid w:val="004A3156"/>
    <w:rsid w:val="004A55C7"/>
    <w:rsid w:val="004B4271"/>
    <w:rsid w:val="004C44B9"/>
    <w:rsid w:val="004F30EC"/>
    <w:rsid w:val="00511535"/>
    <w:rsid w:val="0051363A"/>
    <w:rsid w:val="00525E70"/>
    <w:rsid w:val="005365CB"/>
    <w:rsid w:val="00536A14"/>
    <w:rsid w:val="00540261"/>
    <w:rsid w:val="005441BC"/>
    <w:rsid w:val="0054763E"/>
    <w:rsid w:val="00547B9B"/>
    <w:rsid w:val="005651D0"/>
    <w:rsid w:val="0058013D"/>
    <w:rsid w:val="00581D90"/>
    <w:rsid w:val="005A3D45"/>
    <w:rsid w:val="005A6F0B"/>
    <w:rsid w:val="005B0B04"/>
    <w:rsid w:val="005B4E22"/>
    <w:rsid w:val="005C1A96"/>
    <w:rsid w:val="005E5ECA"/>
    <w:rsid w:val="005F5ECD"/>
    <w:rsid w:val="00602353"/>
    <w:rsid w:val="0061584C"/>
    <w:rsid w:val="00657877"/>
    <w:rsid w:val="00662F7E"/>
    <w:rsid w:val="0066315F"/>
    <w:rsid w:val="00692B2E"/>
    <w:rsid w:val="006B3F0E"/>
    <w:rsid w:val="006C314F"/>
    <w:rsid w:val="006E40DE"/>
    <w:rsid w:val="00704294"/>
    <w:rsid w:val="007075BB"/>
    <w:rsid w:val="00717403"/>
    <w:rsid w:val="007671AD"/>
    <w:rsid w:val="007910B2"/>
    <w:rsid w:val="007C5236"/>
    <w:rsid w:val="007E5319"/>
    <w:rsid w:val="007F1057"/>
    <w:rsid w:val="007F52A4"/>
    <w:rsid w:val="0083214C"/>
    <w:rsid w:val="00847090"/>
    <w:rsid w:val="008602B7"/>
    <w:rsid w:val="00877CA4"/>
    <w:rsid w:val="00877F10"/>
    <w:rsid w:val="00881218"/>
    <w:rsid w:val="00892D11"/>
    <w:rsid w:val="008968A9"/>
    <w:rsid w:val="008A035C"/>
    <w:rsid w:val="008A62F3"/>
    <w:rsid w:val="008B2B34"/>
    <w:rsid w:val="008D1E58"/>
    <w:rsid w:val="008E6383"/>
    <w:rsid w:val="0091548D"/>
    <w:rsid w:val="00916AB0"/>
    <w:rsid w:val="00920B33"/>
    <w:rsid w:val="00970E83"/>
    <w:rsid w:val="009C39D1"/>
    <w:rsid w:val="009F1BB1"/>
    <w:rsid w:val="00A062DF"/>
    <w:rsid w:val="00A236F7"/>
    <w:rsid w:val="00A272C3"/>
    <w:rsid w:val="00A63C3B"/>
    <w:rsid w:val="00A71C56"/>
    <w:rsid w:val="00A755D5"/>
    <w:rsid w:val="00AB0B59"/>
    <w:rsid w:val="00AB2FA7"/>
    <w:rsid w:val="00AD73DD"/>
    <w:rsid w:val="00AE4CC3"/>
    <w:rsid w:val="00B007D9"/>
    <w:rsid w:val="00B24217"/>
    <w:rsid w:val="00B32348"/>
    <w:rsid w:val="00B3475C"/>
    <w:rsid w:val="00B54EE7"/>
    <w:rsid w:val="00B6496B"/>
    <w:rsid w:val="00B663B7"/>
    <w:rsid w:val="00B84EBD"/>
    <w:rsid w:val="00BB23B7"/>
    <w:rsid w:val="00BC6B65"/>
    <w:rsid w:val="00BD4A20"/>
    <w:rsid w:val="00BE4C94"/>
    <w:rsid w:val="00BE6AFE"/>
    <w:rsid w:val="00C1681B"/>
    <w:rsid w:val="00C42356"/>
    <w:rsid w:val="00C93E62"/>
    <w:rsid w:val="00CD011D"/>
    <w:rsid w:val="00CD368B"/>
    <w:rsid w:val="00D05BCF"/>
    <w:rsid w:val="00D1068D"/>
    <w:rsid w:val="00D23968"/>
    <w:rsid w:val="00D312F2"/>
    <w:rsid w:val="00D46E61"/>
    <w:rsid w:val="00D65479"/>
    <w:rsid w:val="00D70610"/>
    <w:rsid w:val="00D81120"/>
    <w:rsid w:val="00DA6DB7"/>
    <w:rsid w:val="00DB1945"/>
    <w:rsid w:val="00DE6ACD"/>
    <w:rsid w:val="00E062DB"/>
    <w:rsid w:val="00E06416"/>
    <w:rsid w:val="00E064C2"/>
    <w:rsid w:val="00E24614"/>
    <w:rsid w:val="00E81C71"/>
    <w:rsid w:val="00E87C61"/>
    <w:rsid w:val="00E908A7"/>
    <w:rsid w:val="00E91F2F"/>
    <w:rsid w:val="00EE7FE1"/>
    <w:rsid w:val="00F04C1A"/>
    <w:rsid w:val="00F47F07"/>
    <w:rsid w:val="00F513B7"/>
    <w:rsid w:val="00F66BF2"/>
    <w:rsid w:val="00F86914"/>
    <w:rsid w:val="00FA1BA5"/>
    <w:rsid w:val="00FA1D73"/>
    <w:rsid w:val="00FC08BB"/>
    <w:rsid w:val="00FC29E3"/>
    <w:rsid w:val="00FC457E"/>
    <w:rsid w:val="00FD5854"/>
    <w:rsid w:val="00FE3C1E"/>
    <w:rsid w:val="00FE63FA"/>
    <w:rsid w:val="00FF1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EC2385"/>
  <w15:chartTrackingRefBased/>
  <w15:docId w15:val="{0E390E10-4898-7043-BD9D-9032770C8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D1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D1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D1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D1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D1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D1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D1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D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D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D1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D1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D1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D1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D1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D1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D1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D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D1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D1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D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D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D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D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D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321</Words>
  <Characters>1835</Characters>
  <Application>Microsoft Office Word</Application>
  <DocSecurity>0</DocSecurity>
  <Lines>15</Lines>
  <Paragraphs>4</Paragraphs>
  <ScaleCrop>false</ScaleCrop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Ettleson</dc:creator>
  <cp:keywords/>
  <dc:description/>
  <cp:lastModifiedBy>Matt Ettleson</cp:lastModifiedBy>
  <cp:revision>21</cp:revision>
  <dcterms:created xsi:type="dcterms:W3CDTF">2026-08-11T17:03:00Z</dcterms:created>
  <dcterms:modified xsi:type="dcterms:W3CDTF">2026-08-11T18:55:00Z</dcterms:modified>
</cp:coreProperties>
</file>