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A994F0" w14:textId="77777777" w:rsidR="00985DBA" w:rsidRDefault="00E66B7E">
      <w:pPr>
        <w:pStyle w:val="Heading1"/>
        <w:jc w:val="center"/>
      </w:pPr>
      <w:bookmarkStart w:id="0" w:name="_gjdgxs" w:colFirst="0" w:colLast="0"/>
      <w:bookmarkEnd w:id="0"/>
      <w:r>
        <w:rPr>
          <w:u w:val="single"/>
        </w:rPr>
        <w:t>Project: Analyzing a Market Test</w:t>
      </w:r>
    </w:p>
    <w:p w14:paraId="67C39F5D" w14:textId="77777777" w:rsidR="00985DBA" w:rsidRDefault="00E66B7E">
      <w:r>
        <w:t xml:space="preserve">Complete each section. When you are ready, save your file as a PDF document and submit it </w:t>
      </w:r>
      <w:hyperlink r:id="rId5">
        <w:r>
          <w:rPr>
            <w:color w:val="1155CC"/>
            <w:u w:val="single"/>
          </w:rPr>
          <w:t>here</w:t>
        </w:r>
      </w:hyperlink>
      <w:r>
        <w:t>.</w:t>
      </w:r>
    </w:p>
    <w:p w14:paraId="56C5AD5E" w14:textId="77777777" w:rsidR="00985DBA" w:rsidRDefault="00E66B7E">
      <w:pPr>
        <w:pStyle w:val="Heading2"/>
        <w:keepNext w:val="0"/>
        <w:keepLines w:val="0"/>
        <w:spacing w:before="240" w:after="40"/>
      </w:pPr>
      <w:r>
        <w:t>Step 1: Plan Your Analysis</w:t>
      </w:r>
    </w:p>
    <w:p w14:paraId="7898CF47" w14:textId="77777777" w:rsidR="00985DBA" w:rsidRDefault="00E66B7E">
      <w:pPr>
        <w:spacing w:line="240" w:lineRule="auto"/>
      </w:pPr>
      <w:r>
        <w:rPr>
          <w:i/>
        </w:rPr>
        <w:t>To perform the correct analysis, you will need to prepare a data set. (500 word limit)</w:t>
      </w:r>
    </w:p>
    <w:p w14:paraId="1954D8B9" w14:textId="77777777" w:rsidR="00985DBA" w:rsidRDefault="00E66B7E">
      <w:pPr>
        <w:spacing w:line="240" w:lineRule="auto"/>
      </w:pPr>
      <w:r>
        <w:rPr>
          <w:i/>
        </w:rPr>
        <w:t>Answer the following questions to help you plan out your analysis:</w:t>
      </w:r>
    </w:p>
    <w:p w14:paraId="670AE37B" w14:textId="18F14B5B" w:rsidR="00985DBA" w:rsidRDefault="00E66B7E">
      <w:pPr>
        <w:numPr>
          <w:ilvl w:val="0"/>
          <w:numId w:val="3"/>
        </w:numPr>
        <w:spacing w:line="240" w:lineRule="auto"/>
        <w:ind w:hanging="360"/>
      </w:pPr>
      <w:r>
        <w:t>What is the performance metric you’ll use to evaluate the results of your test?</w:t>
      </w:r>
    </w:p>
    <w:p w14:paraId="7BE4B12E" w14:textId="12E8C13B" w:rsidR="00304CE2" w:rsidRPr="00304CE2" w:rsidRDefault="00304CE2" w:rsidP="00304CE2">
      <w:pPr>
        <w:spacing w:line="240" w:lineRule="auto"/>
        <w:ind w:left="720"/>
        <w:rPr>
          <w:color w:val="00B050"/>
        </w:rPr>
      </w:pPr>
      <w:r w:rsidRPr="00304CE2">
        <w:rPr>
          <w:color w:val="00B050"/>
        </w:rPr>
        <w:t>The performance metric I will use is the profit or gross margin</w:t>
      </w:r>
      <w:r>
        <w:rPr>
          <w:color w:val="00B050"/>
        </w:rPr>
        <w:t>.</w:t>
      </w:r>
    </w:p>
    <w:p w14:paraId="27C5E151" w14:textId="030DC949" w:rsidR="00985DBA" w:rsidRDefault="00E66B7E">
      <w:pPr>
        <w:numPr>
          <w:ilvl w:val="0"/>
          <w:numId w:val="3"/>
        </w:numPr>
        <w:spacing w:line="240" w:lineRule="auto"/>
        <w:ind w:hanging="360"/>
      </w:pPr>
      <w:r>
        <w:t>What is the test period?</w:t>
      </w:r>
    </w:p>
    <w:p w14:paraId="42EFA95F" w14:textId="5A91FA5A" w:rsidR="00304CE2" w:rsidRPr="00304CE2" w:rsidRDefault="00304CE2" w:rsidP="00304CE2">
      <w:pPr>
        <w:spacing w:line="240" w:lineRule="auto"/>
        <w:ind w:left="720"/>
        <w:rPr>
          <w:color w:val="00B050"/>
        </w:rPr>
      </w:pPr>
      <w:r w:rsidRPr="00304CE2">
        <w:rPr>
          <w:color w:val="00B050"/>
        </w:rPr>
        <w:t>The test period is 2016-April-29 to 2016-July-21 for the treatment and 201</w:t>
      </w:r>
      <w:r w:rsidR="00207C7D">
        <w:rPr>
          <w:color w:val="00B050"/>
        </w:rPr>
        <w:t>5</w:t>
      </w:r>
      <w:r w:rsidRPr="00304CE2">
        <w:rPr>
          <w:color w:val="00B050"/>
        </w:rPr>
        <w:t>-</w:t>
      </w:r>
      <w:r w:rsidR="00207C7D">
        <w:rPr>
          <w:color w:val="00B050"/>
        </w:rPr>
        <w:t>February</w:t>
      </w:r>
      <w:r w:rsidRPr="00304CE2">
        <w:rPr>
          <w:color w:val="00B050"/>
        </w:rPr>
        <w:t>-</w:t>
      </w:r>
      <w:r w:rsidR="00207C7D">
        <w:rPr>
          <w:color w:val="00B050"/>
        </w:rPr>
        <w:t>06</w:t>
      </w:r>
      <w:r w:rsidRPr="00304CE2">
        <w:rPr>
          <w:color w:val="00B050"/>
        </w:rPr>
        <w:t xml:space="preserve"> to 201</w:t>
      </w:r>
      <w:r w:rsidR="0071083E">
        <w:rPr>
          <w:color w:val="00B050"/>
        </w:rPr>
        <w:t>6</w:t>
      </w:r>
      <w:r w:rsidRPr="00304CE2">
        <w:rPr>
          <w:color w:val="00B050"/>
        </w:rPr>
        <w:t>-July-21 for control.</w:t>
      </w:r>
    </w:p>
    <w:p w14:paraId="6D61AF06" w14:textId="0D063628" w:rsidR="00985DBA" w:rsidRDefault="00E66B7E">
      <w:pPr>
        <w:numPr>
          <w:ilvl w:val="0"/>
          <w:numId w:val="3"/>
        </w:numPr>
        <w:spacing w:after="40" w:line="240" w:lineRule="auto"/>
        <w:ind w:hanging="360"/>
      </w:pPr>
      <w:r>
        <w:t>At what level (day, week, month, etc.) should the data be aggregated?</w:t>
      </w:r>
    </w:p>
    <w:p w14:paraId="42586044" w14:textId="18190530" w:rsidR="00304CE2" w:rsidRDefault="00304CE2" w:rsidP="00304CE2">
      <w:pPr>
        <w:spacing w:after="40" w:line="240" w:lineRule="auto"/>
        <w:ind w:left="720"/>
      </w:pPr>
      <w:r w:rsidRPr="00304CE2">
        <w:rPr>
          <w:color w:val="00B050"/>
        </w:rPr>
        <w:t>The data should be aggregated on a weekly basis.</w:t>
      </w:r>
    </w:p>
    <w:p w14:paraId="578467C6" w14:textId="77777777" w:rsidR="00985DBA" w:rsidRDefault="00E66B7E">
      <w:pPr>
        <w:pStyle w:val="Heading2"/>
        <w:keepNext w:val="0"/>
        <w:keepLines w:val="0"/>
        <w:spacing w:before="240" w:after="40"/>
      </w:pPr>
      <w:r>
        <w:t xml:space="preserve">Step 2: Clean Up Your Data </w:t>
      </w:r>
    </w:p>
    <w:p w14:paraId="0D8DF4AB" w14:textId="77777777" w:rsidR="00985DBA" w:rsidRDefault="00E66B7E">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19F00084" w14:textId="77777777" w:rsidR="00985DBA" w:rsidRDefault="00E66B7E">
      <w:pPr>
        <w:pStyle w:val="Heading2"/>
        <w:keepNext w:val="0"/>
        <w:keepLines w:val="0"/>
        <w:spacing w:before="240" w:after="40"/>
      </w:pPr>
      <w:r>
        <w:t>Step 3: Match Treatment and Control Units</w:t>
      </w:r>
    </w:p>
    <w:p w14:paraId="27508ADE" w14:textId="77777777" w:rsidR="00985DBA" w:rsidRDefault="00E66B7E">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57EC21FE" w14:textId="77777777" w:rsidR="00985DBA" w:rsidRDefault="00985DBA">
      <w:pPr>
        <w:spacing w:line="240" w:lineRule="auto"/>
      </w:pPr>
    </w:p>
    <w:p w14:paraId="18E0E1B8" w14:textId="77777777" w:rsidR="00985DBA" w:rsidRDefault="00E66B7E">
      <w:pPr>
        <w:spacing w:line="240" w:lineRule="auto"/>
      </w:pPr>
      <w:r>
        <w:rPr>
          <w:i/>
        </w:rPr>
        <w:t xml:space="preserve">Apart from trend and seasonality... </w:t>
      </w:r>
    </w:p>
    <w:p w14:paraId="06401E86" w14:textId="07C1AD84" w:rsidR="00985DBA" w:rsidRDefault="00E66B7E">
      <w:pPr>
        <w:numPr>
          <w:ilvl w:val="0"/>
          <w:numId w:val="2"/>
        </w:numPr>
        <w:spacing w:line="240" w:lineRule="auto"/>
        <w:ind w:hanging="360"/>
      </w:pPr>
      <w:r>
        <w:t>What control variables should be considered? Note: Only consider variables in the RoundRoastersStore file.</w:t>
      </w:r>
    </w:p>
    <w:p w14:paraId="2C2A436C" w14:textId="33F762E3" w:rsidR="00B83CA0" w:rsidRPr="00F0423D" w:rsidRDefault="00B83CA0" w:rsidP="00B83CA0">
      <w:pPr>
        <w:spacing w:line="240" w:lineRule="auto"/>
        <w:ind w:left="720"/>
        <w:rPr>
          <w:color w:val="00B050"/>
        </w:rPr>
      </w:pPr>
      <w:r w:rsidRPr="00F0423D">
        <w:rPr>
          <w:color w:val="00B050"/>
        </w:rPr>
        <w:t>The Sq_Ft</w:t>
      </w:r>
      <w:r w:rsidR="00E66B7E">
        <w:rPr>
          <w:color w:val="00B050"/>
        </w:rPr>
        <w:t>, A</w:t>
      </w:r>
      <w:r w:rsidR="00B73066">
        <w:rPr>
          <w:color w:val="00B050"/>
        </w:rPr>
        <w:t>vgMonthSales</w:t>
      </w:r>
      <w:r w:rsidRPr="00F0423D">
        <w:rPr>
          <w:color w:val="00B050"/>
        </w:rPr>
        <w:t>,</w:t>
      </w:r>
      <w:r w:rsidR="00F0423D" w:rsidRPr="00F0423D">
        <w:rPr>
          <w:color w:val="00B050"/>
        </w:rPr>
        <w:t xml:space="preserve"> and possibly location information from State, Region, </w:t>
      </w:r>
      <w:r w:rsidR="00624C76">
        <w:rPr>
          <w:color w:val="00B050"/>
        </w:rPr>
        <w:t xml:space="preserve">Longitude, Latitude, </w:t>
      </w:r>
      <w:r w:rsidR="00F0423D" w:rsidRPr="00F0423D">
        <w:rPr>
          <w:color w:val="00B050"/>
        </w:rPr>
        <w:t>or Timezone. Store Id will be used as a unique identifier.</w:t>
      </w:r>
    </w:p>
    <w:p w14:paraId="3723C2DF" w14:textId="3E12AB94" w:rsidR="009139F2" w:rsidRDefault="00E66B7E" w:rsidP="009139F2">
      <w:pPr>
        <w:numPr>
          <w:ilvl w:val="0"/>
          <w:numId w:val="2"/>
        </w:numPr>
        <w:spacing w:line="240" w:lineRule="auto"/>
        <w:ind w:hanging="360"/>
      </w:pPr>
      <w:r>
        <w:t>What is the correlation between your each potential control variable and your performance metric?</w:t>
      </w:r>
    </w:p>
    <w:p w14:paraId="3199F1A3" w14:textId="79DD81F7" w:rsidR="00B91855" w:rsidRDefault="00E66B7E" w:rsidP="00F0423D">
      <w:pPr>
        <w:spacing w:line="240" w:lineRule="auto"/>
        <w:ind w:left="720"/>
        <w:rPr>
          <w:color w:val="00B050"/>
        </w:rPr>
      </w:pPr>
      <w:r w:rsidRPr="00B91855">
        <w:rPr>
          <w:color w:val="00B050"/>
        </w:rPr>
        <w:t xml:space="preserve">Upon using an Association Analysis </w:t>
      </w:r>
      <w:r w:rsidR="00624C76" w:rsidRPr="00B91855">
        <w:rPr>
          <w:color w:val="00B050"/>
        </w:rPr>
        <w:t>to determine if</w:t>
      </w:r>
      <w:r w:rsidRPr="00B91855">
        <w:rPr>
          <w:color w:val="00B050"/>
        </w:rPr>
        <w:t xml:space="preserve"> </w:t>
      </w:r>
      <w:r w:rsidR="009139F2" w:rsidRPr="00B91855">
        <w:rPr>
          <w:color w:val="00B050"/>
        </w:rPr>
        <w:t xml:space="preserve">Gross Margin </w:t>
      </w:r>
      <w:r w:rsidR="00624C76" w:rsidRPr="00B91855">
        <w:rPr>
          <w:color w:val="00B050"/>
        </w:rPr>
        <w:t xml:space="preserve">is correlated with </w:t>
      </w:r>
      <w:r w:rsidR="009139F2" w:rsidRPr="00B91855">
        <w:rPr>
          <w:color w:val="00B050"/>
        </w:rPr>
        <w:t>Sq Ft</w:t>
      </w:r>
      <w:r w:rsidR="00624C76" w:rsidRPr="00B91855">
        <w:rPr>
          <w:color w:val="00B050"/>
        </w:rPr>
        <w:t>, AvgMonthSales, Latitude, and/or Longitude</w:t>
      </w:r>
      <w:r w:rsidR="009139F2" w:rsidRPr="00B91855">
        <w:rPr>
          <w:color w:val="00B050"/>
        </w:rPr>
        <w:t xml:space="preserve"> of the store, </w:t>
      </w:r>
      <w:r w:rsidR="00624C76" w:rsidRPr="00B91855">
        <w:rPr>
          <w:color w:val="00B050"/>
        </w:rPr>
        <w:t xml:space="preserve">I observed </w:t>
      </w:r>
      <w:r w:rsidR="009139F2" w:rsidRPr="00B91855">
        <w:rPr>
          <w:color w:val="00B050"/>
        </w:rPr>
        <w:t>correlation</w:t>
      </w:r>
      <w:r w:rsidR="00552B2E" w:rsidRPr="00B91855">
        <w:rPr>
          <w:color w:val="00B050"/>
        </w:rPr>
        <w:t xml:space="preserve"> </w:t>
      </w:r>
      <w:r w:rsidR="00624C76" w:rsidRPr="00B91855">
        <w:rPr>
          <w:color w:val="00B050"/>
        </w:rPr>
        <w:t xml:space="preserve">values </w:t>
      </w:r>
      <w:r w:rsidR="00552B2E" w:rsidRPr="00B91855">
        <w:rPr>
          <w:color w:val="00B050"/>
        </w:rPr>
        <w:t>of 0.0</w:t>
      </w:r>
      <w:r w:rsidR="00883B12">
        <w:rPr>
          <w:color w:val="00B050"/>
        </w:rPr>
        <w:t>8</w:t>
      </w:r>
      <w:r w:rsidR="00624C76" w:rsidRPr="00B91855">
        <w:rPr>
          <w:color w:val="00B050"/>
        </w:rPr>
        <w:t xml:space="preserve">, </w:t>
      </w:r>
      <w:r w:rsidR="00B91855" w:rsidRPr="00B91855">
        <w:rPr>
          <w:color w:val="00B050"/>
        </w:rPr>
        <w:t>0.</w:t>
      </w:r>
      <w:r w:rsidR="00883B12">
        <w:rPr>
          <w:color w:val="00B050"/>
        </w:rPr>
        <w:t>79</w:t>
      </w:r>
      <w:r w:rsidR="00B91855" w:rsidRPr="00B91855">
        <w:rPr>
          <w:color w:val="00B050"/>
        </w:rPr>
        <w:t>, 0.0</w:t>
      </w:r>
      <w:r w:rsidR="00883B12">
        <w:rPr>
          <w:color w:val="00B050"/>
        </w:rPr>
        <w:t>8</w:t>
      </w:r>
      <w:r w:rsidR="00B91855" w:rsidRPr="00B91855">
        <w:rPr>
          <w:color w:val="00B050"/>
        </w:rPr>
        <w:t>, and 0.0</w:t>
      </w:r>
      <w:r w:rsidR="00883B12">
        <w:rPr>
          <w:color w:val="00B050"/>
        </w:rPr>
        <w:t>8</w:t>
      </w:r>
      <w:r w:rsidR="00B91855" w:rsidRPr="00B91855">
        <w:rPr>
          <w:color w:val="00B050"/>
        </w:rPr>
        <w:t>, respectively</w:t>
      </w:r>
      <w:r w:rsidR="00552B2E" w:rsidRPr="00B91855">
        <w:rPr>
          <w:color w:val="00B050"/>
        </w:rPr>
        <w:t>.</w:t>
      </w:r>
      <w:r w:rsidR="00624C76" w:rsidRPr="00B91855">
        <w:rPr>
          <w:color w:val="00B050"/>
        </w:rPr>
        <w:t xml:space="preserve"> </w:t>
      </w:r>
      <w:r w:rsidR="00B91855" w:rsidRPr="00B91855">
        <w:rPr>
          <w:color w:val="00B050"/>
        </w:rPr>
        <w:t>The AvgMonthSales is highly correlated with Gross Margin.</w:t>
      </w:r>
    </w:p>
    <w:p w14:paraId="41CFD8EA" w14:textId="2285DA04" w:rsidR="0071083E" w:rsidRPr="00B91855" w:rsidRDefault="001475F2" w:rsidP="00F0423D">
      <w:pPr>
        <w:spacing w:line="240" w:lineRule="auto"/>
        <w:ind w:left="720"/>
        <w:rPr>
          <w:color w:val="00B050"/>
        </w:rPr>
      </w:pPr>
      <w:r>
        <w:rPr>
          <w:noProof/>
        </w:rPr>
        <w:lastRenderedPageBreak/>
        <w:drawing>
          <wp:inline distT="0" distB="0" distL="0" distR="0" wp14:anchorId="0409A2C0" wp14:editId="08DB042B">
            <wp:extent cx="54006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776" t="22187" r="2884" b="48231"/>
                    <a:stretch/>
                  </pic:blipFill>
                  <pic:spPr bwMode="auto">
                    <a:xfrm>
                      <a:off x="0" y="0"/>
                      <a:ext cx="5400675" cy="1524000"/>
                    </a:xfrm>
                    <a:prstGeom prst="rect">
                      <a:avLst/>
                    </a:prstGeom>
                    <a:ln>
                      <a:noFill/>
                    </a:ln>
                    <a:extLst>
                      <a:ext uri="{53640926-AAD7-44D8-BBD7-CCE9431645EC}">
                        <a14:shadowObscured xmlns:a14="http://schemas.microsoft.com/office/drawing/2010/main"/>
                      </a:ext>
                    </a:extLst>
                  </pic:spPr>
                </pic:pic>
              </a:graphicData>
            </a:graphic>
          </wp:inline>
        </w:drawing>
      </w:r>
    </w:p>
    <w:p w14:paraId="60FF5939" w14:textId="48BE5EE3" w:rsidR="0071083E" w:rsidRDefault="00624C76" w:rsidP="0071083E">
      <w:pPr>
        <w:spacing w:line="240" w:lineRule="auto"/>
        <w:ind w:left="720"/>
        <w:rPr>
          <w:color w:val="00B050"/>
        </w:rPr>
      </w:pPr>
      <w:r w:rsidRPr="00B91855">
        <w:rPr>
          <w:color w:val="00B050"/>
        </w:rPr>
        <w:t>Using Plot of Means Tools to determine if Gross Margin is correlated with State, Region, or Timezone, I did not observe any differences with Region and Timezone. All confidence intervals</w:t>
      </w:r>
      <w:r w:rsidR="00552B2E" w:rsidRPr="00B91855">
        <w:rPr>
          <w:color w:val="00B050"/>
        </w:rPr>
        <w:t xml:space="preserve"> </w:t>
      </w:r>
      <w:r w:rsidRPr="00B91855">
        <w:rPr>
          <w:color w:val="00B050"/>
        </w:rPr>
        <w:t>e</w:t>
      </w:r>
      <w:r w:rsidR="00B91855" w:rsidRPr="00B91855">
        <w:rPr>
          <w:color w:val="00B050"/>
        </w:rPr>
        <w:t>n</w:t>
      </w:r>
      <w:r w:rsidRPr="00B91855">
        <w:rPr>
          <w:color w:val="00B050"/>
        </w:rPr>
        <w:t>compassed one another</w:t>
      </w:r>
      <w:r w:rsidR="00B91855" w:rsidRPr="00B91855">
        <w:rPr>
          <w:color w:val="00B050"/>
        </w:rPr>
        <w:t xml:space="preserve"> in the plots</w:t>
      </w:r>
      <w:r w:rsidRPr="00B91855">
        <w:rPr>
          <w:color w:val="00B050"/>
        </w:rPr>
        <w:t xml:space="preserve">. </w:t>
      </w:r>
      <w:r w:rsidR="001475F2">
        <w:rPr>
          <w:color w:val="00B050"/>
        </w:rPr>
        <w:t>T</w:t>
      </w:r>
      <w:r w:rsidRPr="00B91855">
        <w:rPr>
          <w:color w:val="00B050"/>
        </w:rPr>
        <w:t xml:space="preserve">he State variable </w:t>
      </w:r>
      <w:r w:rsidR="00B91855" w:rsidRPr="00B91855">
        <w:rPr>
          <w:color w:val="00B050"/>
        </w:rPr>
        <w:t>did produce some States that were significantly different than the other states. I will say the state is correlated with Gross Margin.</w:t>
      </w:r>
    </w:p>
    <w:p w14:paraId="55A070E7" w14:textId="165C2DB0" w:rsidR="0071083E" w:rsidRDefault="001475F2" w:rsidP="0071083E">
      <w:pPr>
        <w:spacing w:line="240" w:lineRule="auto"/>
        <w:ind w:left="720"/>
        <w:rPr>
          <w:color w:val="00B050"/>
        </w:rPr>
      </w:pPr>
      <w:r>
        <w:rPr>
          <w:noProof/>
        </w:rPr>
        <w:drawing>
          <wp:inline distT="0" distB="0" distL="0" distR="0" wp14:anchorId="44AC740D" wp14:editId="66027BE7">
            <wp:extent cx="478155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604" t="24049" r="7504" b="5632"/>
                    <a:stretch/>
                  </pic:blipFill>
                  <pic:spPr bwMode="auto">
                    <a:xfrm>
                      <a:off x="0" y="0"/>
                      <a:ext cx="4781550" cy="2733675"/>
                    </a:xfrm>
                    <a:prstGeom prst="rect">
                      <a:avLst/>
                    </a:prstGeom>
                    <a:ln>
                      <a:noFill/>
                    </a:ln>
                    <a:extLst>
                      <a:ext uri="{53640926-AAD7-44D8-BBD7-CCE9431645EC}">
                        <a14:shadowObscured xmlns:a14="http://schemas.microsoft.com/office/drawing/2010/main"/>
                      </a:ext>
                    </a:extLst>
                  </pic:spPr>
                </pic:pic>
              </a:graphicData>
            </a:graphic>
          </wp:inline>
        </w:drawing>
      </w:r>
    </w:p>
    <w:p w14:paraId="695188CF" w14:textId="06CBB2CF" w:rsidR="001475F2" w:rsidRDefault="001475F2" w:rsidP="0071083E">
      <w:pPr>
        <w:spacing w:line="240" w:lineRule="auto"/>
        <w:ind w:left="720"/>
        <w:rPr>
          <w:color w:val="00B050"/>
        </w:rPr>
      </w:pPr>
      <w:r>
        <w:rPr>
          <w:noProof/>
        </w:rPr>
        <w:drawing>
          <wp:inline distT="0" distB="0" distL="0" distR="0" wp14:anchorId="1BB4ECC4" wp14:editId="7C4539EA">
            <wp:extent cx="516255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04" t="23744" r="7504" b="5784"/>
                    <a:stretch/>
                  </pic:blipFill>
                  <pic:spPr bwMode="auto">
                    <a:xfrm>
                      <a:off x="0" y="0"/>
                      <a:ext cx="5162550" cy="3086100"/>
                    </a:xfrm>
                    <a:prstGeom prst="rect">
                      <a:avLst/>
                    </a:prstGeom>
                    <a:ln>
                      <a:noFill/>
                    </a:ln>
                    <a:extLst>
                      <a:ext uri="{53640926-AAD7-44D8-BBD7-CCE9431645EC}">
                        <a14:shadowObscured xmlns:a14="http://schemas.microsoft.com/office/drawing/2010/main"/>
                      </a:ext>
                    </a:extLst>
                  </pic:spPr>
                </pic:pic>
              </a:graphicData>
            </a:graphic>
          </wp:inline>
        </w:drawing>
      </w:r>
    </w:p>
    <w:p w14:paraId="4F9758C9" w14:textId="20602CAA" w:rsidR="001475F2" w:rsidRDefault="001475F2" w:rsidP="0071083E">
      <w:pPr>
        <w:spacing w:line="240" w:lineRule="auto"/>
        <w:ind w:left="720"/>
        <w:rPr>
          <w:color w:val="00B050"/>
        </w:rPr>
      </w:pPr>
      <w:r>
        <w:rPr>
          <w:noProof/>
        </w:rPr>
        <w:lastRenderedPageBreak/>
        <w:drawing>
          <wp:inline distT="0" distB="0" distL="0" distR="0" wp14:anchorId="249E2D35" wp14:editId="3A6305B6">
            <wp:extent cx="5419725" cy="3105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802" t="24048" r="7365" b="5175"/>
                    <a:stretch/>
                  </pic:blipFill>
                  <pic:spPr bwMode="auto">
                    <a:xfrm>
                      <a:off x="0" y="0"/>
                      <a:ext cx="5419725" cy="3105150"/>
                    </a:xfrm>
                    <a:prstGeom prst="rect">
                      <a:avLst/>
                    </a:prstGeom>
                    <a:ln>
                      <a:noFill/>
                    </a:ln>
                    <a:extLst>
                      <a:ext uri="{53640926-AAD7-44D8-BBD7-CCE9431645EC}">
                        <a14:shadowObscured xmlns:a14="http://schemas.microsoft.com/office/drawing/2010/main"/>
                      </a:ext>
                    </a:extLst>
                  </pic:spPr>
                </pic:pic>
              </a:graphicData>
            </a:graphic>
          </wp:inline>
        </w:drawing>
      </w:r>
    </w:p>
    <w:p w14:paraId="42B2BF47" w14:textId="1ECA22BD" w:rsidR="0071083E" w:rsidRPr="0071083E" w:rsidRDefault="0071083E" w:rsidP="0071083E">
      <w:pPr>
        <w:spacing w:line="240" w:lineRule="auto"/>
        <w:ind w:left="720"/>
        <w:rPr>
          <w:color w:val="00B050"/>
        </w:rPr>
      </w:pPr>
      <w:r>
        <w:rPr>
          <w:color w:val="00B050"/>
        </w:rPr>
        <w:t>However, upon looking at the rest of the questions in the document, it is apparent I should use Region instead of State. Region will be used</w:t>
      </w:r>
    </w:p>
    <w:p w14:paraId="7290D891" w14:textId="79BB2F38" w:rsidR="00985DBA" w:rsidRDefault="00E66B7E">
      <w:pPr>
        <w:numPr>
          <w:ilvl w:val="0"/>
          <w:numId w:val="2"/>
        </w:numPr>
        <w:spacing w:line="240" w:lineRule="auto"/>
        <w:ind w:hanging="360"/>
      </w:pPr>
      <w:bookmarkStart w:id="1" w:name="_30j0zll" w:colFirst="0" w:colLast="0"/>
      <w:bookmarkEnd w:id="1"/>
      <w:r>
        <w:t>What control variables will you use to match treatment and control stores?</w:t>
      </w:r>
    </w:p>
    <w:p w14:paraId="1D0F736D" w14:textId="6D5754D5" w:rsidR="00B91855" w:rsidRPr="00B91855" w:rsidRDefault="00B91855" w:rsidP="00B91855">
      <w:pPr>
        <w:spacing w:line="240" w:lineRule="auto"/>
        <w:ind w:left="720"/>
        <w:rPr>
          <w:color w:val="00B050"/>
        </w:rPr>
      </w:pPr>
      <w:r w:rsidRPr="00B91855">
        <w:rPr>
          <w:color w:val="00B050"/>
        </w:rPr>
        <w:t xml:space="preserve">I will use AvgMonthSales and </w:t>
      </w:r>
      <w:r w:rsidR="0071083E">
        <w:rPr>
          <w:color w:val="00B050"/>
        </w:rPr>
        <w:t>Region</w:t>
      </w:r>
      <w:r w:rsidRPr="00B91855">
        <w:rPr>
          <w:color w:val="00B050"/>
        </w:rPr>
        <w:t>.</w:t>
      </w:r>
    </w:p>
    <w:p w14:paraId="39D115CE" w14:textId="77777777" w:rsidR="00985DBA" w:rsidRDefault="00E66B7E">
      <w:pPr>
        <w:numPr>
          <w:ilvl w:val="0"/>
          <w:numId w:val="2"/>
        </w:numPr>
        <w:spacing w:line="240" w:lineRule="auto"/>
        <w:ind w:hanging="360"/>
      </w:pPr>
      <w:r>
        <w:t>Please fill out the table below with your treatment and control stores pairs:</w:t>
      </w:r>
    </w:p>
    <w:p w14:paraId="253E65AA" w14:textId="77777777" w:rsidR="00985DBA" w:rsidRDefault="00985DBA">
      <w:pPr>
        <w:spacing w:line="240" w:lineRule="auto"/>
      </w:pPr>
    </w:p>
    <w:tbl>
      <w:tblPr>
        <w:tblStyle w:val="1"/>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985DBA" w14:paraId="06F6BAFB" w14:textId="77777777">
        <w:trPr>
          <w:trHeight w:val="260"/>
          <w:jc w:val="center"/>
        </w:trPr>
        <w:tc>
          <w:tcPr>
            <w:tcW w:w="1897" w:type="dxa"/>
          </w:tcPr>
          <w:p w14:paraId="65CEFED3" w14:textId="77777777" w:rsidR="00985DBA" w:rsidRDefault="00E66B7E">
            <w:pPr>
              <w:contextualSpacing w:val="0"/>
              <w:jc w:val="center"/>
            </w:pPr>
            <w:r>
              <w:t>Treatment Store</w:t>
            </w:r>
          </w:p>
        </w:tc>
        <w:tc>
          <w:tcPr>
            <w:tcW w:w="1898" w:type="dxa"/>
          </w:tcPr>
          <w:p w14:paraId="5112DD36" w14:textId="77777777" w:rsidR="00985DBA" w:rsidRDefault="00E66B7E">
            <w:pPr>
              <w:contextualSpacing w:val="0"/>
              <w:jc w:val="center"/>
            </w:pPr>
            <w:r>
              <w:t>Control Store 1</w:t>
            </w:r>
          </w:p>
        </w:tc>
        <w:tc>
          <w:tcPr>
            <w:tcW w:w="1898" w:type="dxa"/>
          </w:tcPr>
          <w:p w14:paraId="5BBD446C" w14:textId="77777777" w:rsidR="00985DBA" w:rsidRDefault="00E66B7E">
            <w:pPr>
              <w:contextualSpacing w:val="0"/>
              <w:jc w:val="center"/>
            </w:pPr>
            <w:r>
              <w:t>Control Store 2</w:t>
            </w:r>
          </w:p>
        </w:tc>
      </w:tr>
      <w:tr w:rsidR="00985DBA" w14:paraId="501FC1E1" w14:textId="77777777">
        <w:trPr>
          <w:trHeight w:val="260"/>
          <w:jc w:val="center"/>
        </w:trPr>
        <w:tc>
          <w:tcPr>
            <w:tcW w:w="1897" w:type="dxa"/>
            <w:vAlign w:val="bottom"/>
          </w:tcPr>
          <w:p w14:paraId="426FD732" w14:textId="0BB2EAD8" w:rsidR="00985DBA" w:rsidRPr="000B2688" w:rsidRDefault="009102EB">
            <w:pPr>
              <w:contextualSpacing w:val="0"/>
              <w:jc w:val="center"/>
              <w:rPr>
                <w:color w:val="00B050"/>
              </w:rPr>
            </w:pPr>
            <w:r w:rsidRPr="000B2688">
              <w:rPr>
                <w:color w:val="00B050"/>
              </w:rPr>
              <w:t>1664</w:t>
            </w:r>
          </w:p>
        </w:tc>
        <w:tc>
          <w:tcPr>
            <w:tcW w:w="1898" w:type="dxa"/>
            <w:vAlign w:val="bottom"/>
          </w:tcPr>
          <w:p w14:paraId="579F72DA" w14:textId="065321AF" w:rsidR="00985DBA" w:rsidRPr="000B2688" w:rsidRDefault="00FC244D">
            <w:pPr>
              <w:contextualSpacing w:val="0"/>
              <w:jc w:val="center"/>
              <w:rPr>
                <w:color w:val="00B050"/>
              </w:rPr>
            </w:pPr>
            <w:r>
              <w:rPr>
                <w:color w:val="00B050"/>
              </w:rPr>
              <w:t>8112</w:t>
            </w:r>
          </w:p>
        </w:tc>
        <w:tc>
          <w:tcPr>
            <w:tcW w:w="1898" w:type="dxa"/>
            <w:vAlign w:val="bottom"/>
          </w:tcPr>
          <w:p w14:paraId="1B05FF4C" w14:textId="7AAA18F1" w:rsidR="00985DBA" w:rsidRPr="000B2688" w:rsidRDefault="00FC244D">
            <w:pPr>
              <w:contextualSpacing w:val="0"/>
              <w:jc w:val="center"/>
              <w:rPr>
                <w:color w:val="00B050"/>
              </w:rPr>
            </w:pPr>
            <w:r>
              <w:rPr>
                <w:color w:val="00B050"/>
              </w:rPr>
              <w:t>1542</w:t>
            </w:r>
          </w:p>
        </w:tc>
      </w:tr>
      <w:tr w:rsidR="00985DBA" w14:paraId="5D3472E7" w14:textId="77777777">
        <w:trPr>
          <w:trHeight w:val="280"/>
          <w:jc w:val="center"/>
        </w:trPr>
        <w:tc>
          <w:tcPr>
            <w:tcW w:w="1897" w:type="dxa"/>
            <w:vAlign w:val="bottom"/>
          </w:tcPr>
          <w:p w14:paraId="6D5DA236" w14:textId="31124352" w:rsidR="00985DBA" w:rsidRPr="000B2688" w:rsidRDefault="009102EB">
            <w:pPr>
              <w:contextualSpacing w:val="0"/>
              <w:jc w:val="center"/>
              <w:rPr>
                <w:color w:val="00B050"/>
              </w:rPr>
            </w:pPr>
            <w:r w:rsidRPr="000B2688">
              <w:rPr>
                <w:color w:val="00B050"/>
              </w:rPr>
              <w:t>1675</w:t>
            </w:r>
          </w:p>
        </w:tc>
        <w:tc>
          <w:tcPr>
            <w:tcW w:w="1898" w:type="dxa"/>
            <w:vAlign w:val="bottom"/>
          </w:tcPr>
          <w:p w14:paraId="3C24EAC7" w14:textId="114CE574" w:rsidR="00985DBA" w:rsidRPr="000B2688" w:rsidRDefault="00FC244D">
            <w:pPr>
              <w:contextualSpacing w:val="0"/>
              <w:jc w:val="center"/>
              <w:rPr>
                <w:color w:val="00B050"/>
              </w:rPr>
            </w:pPr>
            <w:r>
              <w:rPr>
                <w:color w:val="00B050"/>
              </w:rPr>
              <w:t>1807</w:t>
            </w:r>
          </w:p>
        </w:tc>
        <w:tc>
          <w:tcPr>
            <w:tcW w:w="1898" w:type="dxa"/>
            <w:vAlign w:val="bottom"/>
          </w:tcPr>
          <w:p w14:paraId="6F4FA331" w14:textId="4B7277BC" w:rsidR="00985DBA" w:rsidRPr="000B2688" w:rsidRDefault="00FC244D">
            <w:pPr>
              <w:contextualSpacing w:val="0"/>
              <w:jc w:val="center"/>
              <w:rPr>
                <w:color w:val="00B050"/>
              </w:rPr>
            </w:pPr>
            <w:r>
              <w:rPr>
                <w:color w:val="00B050"/>
              </w:rPr>
              <w:t>1580</w:t>
            </w:r>
          </w:p>
        </w:tc>
      </w:tr>
      <w:tr w:rsidR="00985DBA" w14:paraId="20CAFA38" w14:textId="77777777">
        <w:trPr>
          <w:trHeight w:val="260"/>
          <w:jc w:val="center"/>
        </w:trPr>
        <w:tc>
          <w:tcPr>
            <w:tcW w:w="1897" w:type="dxa"/>
            <w:vAlign w:val="bottom"/>
          </w:tcPr>
          <w:p w14:paraId="4028FB88" w14:textId="4FD1901A" w:rsidR="00985DBA" w:rsidRPr="000B2688" w:rsidRDefault="00FC244D">
            <w:pPr>
              <w:contextualSpacing w:val="0"/>
              <w:jc w:val="center"/>
              <w:rPr>
                <w:color w:val="00B050"/>
              </w:rPr>
            </w:pPr>
            <w:r>
              <w:rPr>
                <w:color w:val="00B050"/>
              </w:rPr>
              <w:t>1696</w:t>
            </w:r>
          </w:p>
        </w:tc>
        <w:tc>
          <w:tcPr>
            <w:tcW w:w="1898" w:type="dxa"/>
            <w:vAlign w:val="bottom"/>
          </w:tcPr>
          <w:p w14:paraId="7F4674A8" w14:textId="7FDC45F1" w:rsidR="00985DBA" w:rsidRPr="000B2688" w:rsidRDefault="00FC244D">
            <w:pPr>
              <w:contextualSpacing w:val="0"/>
              <w:jc w:val="center"/>
              <w:rPr>
                <w:color w:val="00B050"/>
              </w:rPr>
            </w:pPr>
            <w:r>
              <w:rPr>
                <w:color w:val="00B050"/>
              </w:rPr>
              <w:t>1964</w:t>
            </w:r>
          </w:p>
        </w:tc>
        <w:tc>
          <w:tcPr>
            <w:tcW w:w="1898" w:type="dxa"/>
            <w:vAlign w:val="bottom"/>
          </w:tcPr>
          <w:p w14:paraId="4CF65295" w14:textId="1DC54D52" w:rsidR="00985DBA" w:rsidRPr="000B2688" w:rsidRDefault="00FC244D">
            <w:pPr>
              <w:contextualSpacing w:val="0"/>
              <w:jc w:val="center"/>
              <w:rPr>
                <w:color w:val="00B050"/>
              </w:rPr>
            </w:pPr>
            <w:r>
              <w:rPr>
                <w:color w:val="00B050"/>
              </w:rPr>
              <w:t>7334</w:t>
            </w:r>
          </w:p>
        </w:tc>
      </w:tr>
      <w:tr w:rsidR="00985DBA" w14:paraId="11A6C53D" w14:textId="77777777">
        <w:trPr>
          <w:trHeight w:val="280"/>
          <w:jc w:val="center"/>
        </w:trPr>
        <w:tc>
          <w:tcPr>
            <w:tcW w:w="1897" w:type="dxa"/>
            <w:vAlign w:val="bottom"/>
          </w:tcPr>
          <w:p w14:paraId="25EDF2E3" w14:textId="3E2F4931" w:rsidR="00985DBA" w:rsidRPr="000B2688" w:rsidRDefault="009102EB">
            <w:pPr>
              <w:contextualSpacing w:val="0"/>
              <w:jc w:val="center"/>
              <w:rPr>
                <w:color w:val="00B050"/>
              </w:rPr>
            </w:pPr>
            <w:r w:rsidRPr="000B2688">
              <w:rPr>
                <w:color w:val="00B050"/>
              </w:rPr>
              <w:t>1700</w:t>
            </w:r>
          </w:p>
        </w:tc>
        <w:tc>
          <w:tcPr>
            <w:tcW w:w="1898" w:type="dxa"/>
            <w:vAlign w:val="bottom"/>
          </w:tcPr>
          <w:p w14:paraId="348BBF50" w14:textId="67BDEA0E" w:rsidR="00985DBA" w:rsidRPr="000B2688" w:rsidRDefault="00FC244D">
            <w:pPr>
              <w:contextualSpacing w:val="0"/>
              <w:jc w:val="center"/>
              <w:rPr>
                <w:color w:val="00B050"/>
              </w:rPr>
            </w:pPr>
            <w:r>
              <w:rPr>
                <w:color w:val="00B050"/>
              </w:rPr>
              <w:t>2014</w:t>
            </w:r>
          </w:p>
        </w:tc>
        <w:tc>
          <w:tcPr>
            <w:tcW w:w="1898" w:type="dxa"/>
            <w:vAlign w:val="bottom"/>
          </w:tcPr>
          <w:p w14:paraId="70373986" w14:textId="05E0D0FD" w:rsidR="00985DBA" w:rsidRPr="000B2688" w:rsidRDefault="00FC244D">
            <w:pPr>
              <w:contextualSpacing w:val="0"/>
              <w:jc w:val="center"/>
              <w:rPr>
                <w:color w:val="00B050"/>
              </w:rPr>
            </w:pPr>
            <w:r>
              <w:rPr>
                <w:color w:val="00B050"/>
              </w:rPr>
              <w:t>1508</w:t>
            </w:r>
          </w:p>
        </w:tc>
      </w:tr>
      <w:tr w:rsidR="00985DBA" w14:paraId="6A513587" w14:textId="77777777">
        <w:trPr>
          <w:trHeight w:val="260"/>
          <w:jc w:val="center"/>
        </w:trPr>
        <w:tc>
          <w:tcPr>
            <w:tcW w:w="1897" w:type="dxa"/>
            <w:vAlign w:val="bottom"/>
          </w:tcPr>
          <w:p w14:paraId="45E97CDE" w14:textId="6155857A" w:rsidR="00985DBA" w:rsidRPr="000B2688" w:rsidRDefault="009102EB">
            <w:pPr>
              <w:contextualSpacing w:val="0"/>
              <w:jc w:val="center"/>
              <w:rPr>
                <w:color w:val="00B050"/>
              </w:rPr>
            </w:pPr>
            <w:r w:rsidRPr="000B2688">
              <w:rPr>
                <w:color w:val="00B050"/>
              </w:rPr>
              <w:t>1712</w:t>
            </w:r>
          </w:p>
        </w:tc>
        <w:tc>
          <w:tcPr>
            <w:tcW w:w="1898" w:type="dxa"/>
            <w:vAlign w:val="bottom"/>
          </w:tcPr>
          <w:p w14:paraId="296823F8" w14:textId="27F475D5" w:rsidR="00985DBA" w:rsidRPr="000B2688" w:rsidRDefault="00FC244D">
            <w:pPr>
              <w:contextualSpacing w:val="0"/>
              <w:jc w:val="center"/>
              <w:rPr>
                <w:color w:val="00B050"/>
              </w:rPr>
            </w:pPr>
            <w:r>
              <w:rPr>
                <w:color w:val="00B050"/>
              </w:rPr>
              <w:t>8162</w:t>
            </w:r>
          </w:p>
        </w:tc>
        <w:tc>
          <w:tcPr>
            <w:tcW w:w="1898" w:type="dxa"/>
            <w:vAlign w:val="bottom"/>
          </w:tcPr>
          <w:p w14:paraId="1B38BA56" w14:textId="1F8B9B1A" w:rsidR="00985DBA" w:rsidRPr="000B2688" w:rsidRDefault="00FC244D">
            <w:pPr>
              <w:contextualSpacing w:val="0"/>
              <w:jc w:val="center"/>
              <w:rPr>
                <w:color w:val="00B050"/>
              </w:rPr>
            </w:pPr>
            <w:r>
              <w:rPr>
                <w:color w:val="00B050"/>
              </w:rPr>
              <w:t>7434</w:t>
            </w:r>
          </w:p>
        </w:tc>
      </w:tr>
      <w:tr w:rsidR="00985DBA" w14:paraId="34687104" w14:textId="77777777">
        <w:trPr>
          <w:trHeight w:val="280"/>
          <w:jc w:val="center"/>
        </w:trPr>
        <w:tc>
          <w:tcPr>
            <w:tcW w:w="1897" w:type="dxa"/>
            <w:vAlign w:val="bottom"/>
          </w:tcPr>
          <w:p w14:paraId="487F7667" w14:textId="284AF7DC" w:rsidR="00985DBA" w:rsidRPr="000B2688" w:rsidRDefault="000B2688">
            <w:pPr>
              <w:contextualSpacing w:val="0"/>
              <w:jc w:val="center"/>
              <w:rPr>
                <w:color w:val="00B050"/>
              </w:rPr>
            </w:pPr>
            <w:r w:rsidRPr="000B2688">
              <w:rPr>
                <w:color w:val="00B050"/>
              </w:rPr>
              <w:t>2288</w:t>
            </w:r>
          </w:p>
        </w:tc>
        <w:tc>
          <w:tcPr>
            <w:tcW w:w="1898" w:type="dxa"/>
            <w:vAlign w:val="bottom"/>
          </w:tcPr>
          <w:p w14:paraId="5CEE18A5" w14:textId="116738FC" w:rsidR="00985DBA" w:rsidRPr="000B2688" w:rsidRDefault="00FC244D">
            <w:pPr>
              <w:contextualSpacing w:val="0"/>
              <w:jc w:val="center"/>
              <w:rPr>
                <w:color w:val="00B050"/>
              </w:rPr>
            </w:pPr>
            <w:r>
              <w:rPr>
                <w:color w:val="00B050"/>
              </w:rPr>
              <w:t>2568</w:t>
            </w:r>
          </w:p>
        </w:tc>
        <w:tc>
          <w:tcPr>
            <w:tcW w:w="1898" w:type="dxa"/>
            <w:vAlign w:val="bottom"/>
          </w:tcPr>
          <w:p w14:paraId="353459DE" w14:textId="7474C850" w:rsidR="00985DBA" w:rsidRPr="000B2688" w:rsidRDefault="00FC244D">
            <w:pPr>
              <w:contextualSpacing w:val="0"/>
              <w:jc w:val="center"/>
              <w:rPr>
                <w:color w:val="00B050"/>
              </w:rPr>
            </w:pPr>
            <w:r>
              <w:rPr>
                <w:color w:val="00B050"/>
              </w:rPr>
              <w:t>3185</w:t>
            </w:r>
          </w:p>
        </w:tc>
      </w:tr>
      <w:tr w:rsidR="00985DBA" w14:paraId="7B761FA5" w14:textId="77777777">
        <w:trPr>
          <w:trHeight w:val="280"/>
          <w:jc w:val="center"/>
        </w:trPr>
        <w:tc>
          <w:tcPr>
            <w:tcW w:w="1897" w:type="dxa"/>
            <w:vAlign w:val="bottom"/>
          </w:tcPr>
          <w:p w14:paraId="25C4785A" w14:textId="2BF92351" w:rsidR="00985DBA" w:rsidRPr="000B2688" w:rsidRDefault="000B2688">
            <w:pPr>
              <w:contextualSpacing w:val="0"/>
              <w:jc w:val="center"/>
              <w:rPr>
                <w:color w:val="00B050"/>
              </w:rPr>
            </w:pPr>
            <w:r w:rsidRPr="000B2688">
              <w:rPr>
                <w:color w:val="00B050"/>
              </w:rPr>
              <w:t>2293</w:t>
            </w:r>
          </w:p>
        </w:tc>
        <w:tc>
          <w:tcPr>
            <w:tcW w:w="1898" w:type="dxa"/>
            <w:vAlign w:val="bottom"/>
          </w:tcPr>
          <w:p w14:paraId="7D49DCA0" w14:textId="393EC20A" w:rsidR="00985DBA" w:rsidRPr="000B2688" w:rsidRDefault="00FC244D">
            <w:pPr>
              <w:contextualSpacing w:val="0"/>
              <w:jc w:val="center"/>
              <w:rPr>
                <w:color w:val="00B050"/>
              </w:rPr>
            </w:pPr>
            <w:r>
              <w:rPr>
                <w:color w:val="00B050"/>
              </w:rPr>
              <w:t>9589</w:t>
            </w:r>
          </w:p>
        </w:tc>
        <w:tc>
          <w:tcPr>
            <w:tcW w:w="1898" w:type="dxa"/>
            <w:vAlign w:val="bottom"/>
          </w:tcPr>
          <w:p w14:paraId="15A1CE5A" w14:textId="24D6FFBA" w:rsidR="00985DBA" w:rsidRPr="000B2688" w:rsidRDefault="00FC244D">
            <w:pPr>
              <w:contextualSpacing w:val="0"/>
              <w:jc w:val="center"/>
              <w:rPr>
                <w:color w:val="00B050"/>
              </w:rPr>
            </w:pPr>
            <w:r>
              <w:rPr>
                <w:color w:val="00B050"/>
              </w:rPr>
              <w:t>9639</w:t>
            </w:r>
          </w:p>
        </w:tc>
      </w:tr>
      <w:tr w:rsidR="00985DBA" w14:paraId="0DD8C9BC" w14:textId="77777777">
        <w:trPr>
          <w:trHeight w:val="260"/>
          <w:jc w:val="center"/>
        </w:trPr>
        <w:tc>
          <w:tcPr>
            <w:tcW w:w="1897" w:type="dxa"/>
            <w:vAlign w:val="bottom"/>
          </w:tcPr>
          <w:p w14:paraId="7DA8EBAF" w14:textId="2B7E8328" w:rsidR="00985DBA" w:rsidRPr="000B2688" w:rsidRDefault="000B2688">
            <w:pPr>
              <w:contextualSpacing w:val="0"/>
              <w:jc w:val="center"/>
              <w:rPr>
                <w:color w:val="00B050"/>
              </w:rPr>
            </w:pPr>
            <w:r w:rsidRPr="000B2688">
              <w:rPr>
                <w:color w:val="00B050"/>
              </w:rPr>
              <w:t>2301</w:t>
            </w:r>
          </w:p>
        </w:tc>
        <w:tc>
          <w:tcPr>
            <w:tcW w:w="1898" w:type="dxa"/>
            <w:vAlign w:val="bottom"/>
          </w:tcPr>
          <w:p w14:paraId="54668465" w14:textId="7A1106E7" w:rsidR="00985DBA" w:rsidRPr="000B2688" w:rsidRDefault="00FC244D">
            <w:pPr>
              <w:contextualSpacing w:val="0"/>
              <w:jc w:val="center"/>
              <w:rPr>
                <w:color w:val="00B050"/>
              </w:rPr>
            </w:pPr>
            <w:r>
              <w:rPr>
                <w:color w:val="00B050"/>
              </w:rPr>
              <w:t>9238</w:t>
            </w:r>
          </w:p>
        </w:tc>
        <w:tc>
          <w:tcPr>
            <w:tcW w:w="1898" w:type="dxa"/>
            <w:vAlign w:val="bottom"/>
          </w:tcPr>
          <w:p w14:paraId="7BF1FF37" w14:textId="55AD40BA" w:rsidR="00985DBA" w:rsidRPr="000B2688" w:rsidRDefault="00FC244D">
            <w:pPr>
              <w:contextualSpacing w:val="0"/>
              <w:jc w:val="center"/>
              <w:rPr>
                <w:color w:val="00B050"/>
              </w:rPr>
            </w:pPr>
            <w:r>
              <w:rPr>
                <w:color w:val="00B050"/>
              </w:rPr>
              <w:t>11268</w:t>
            </w:r>
          </w:p>
        </w:tc>
      </w:tr>
      <w:tr w:rsidR="00985DBA" w14:paraId="424F5D0E" w14:textId="77777777">
        <w:trPr>
          <w:trHeight w:val="280"/>
          <w:jc w:val="center"/>
        </w:trPr>
        <w:tc>
          <w:tcPr>
            <w:tcW w:w="1897" w:type="dxa"/>
            <w:vAlign w:val="bottom"/>
          </w:tcPr>
          <w:p w14:paraId="50BFE260" w14:textId="1F366BF0" w:rsidR="00985DBA" w:rsidRPr="000B2688" w:rsidRDefault="000B2688">
            <w:pPr>
              <w:contextualSpacing w:val="0"/>
              <w:jc w:val="center"/>
              <w:rPr>
                <w:color w:val="00B050"/>
              </w:rPr>
            </w:pPr>
            <w:r w:rsidRPr="000B2688">
              <w:rPr>
                <w:color w:val="00B050"/>
              </w:rPr>
              <w:t>2322</w:t>
            </w:r>
          </w:p>
        </w:tc>
        <w:tc>
          <w:tcPr>
            <w:tcW w:w="1898" w:type="dxa"/>
            <w:vAlign w:val="bottom"/>
          </w:tcPr>
          <w:p w14:paraId="6C5C55BD" w14:textId="4757E01E" w:rsidR="00985DBA" w:rsidRPr="000B2688" w:rsidRDefault="00FC244D">
            <w:pPr>
              <w:contextualSpacing w:val="0"/>
              <w:jc w:val="center"/>
              <w:rPr>
                <w:color w:val="00B050"/>
              </w:rPr>
            </w:pPr>
            <w:r>
              <w:rPr>
                <w:color w:val="00B050"/>
              </w:rPr>
              <w:t>2409</w:t>
            </w:r>
          </w:p>
        </w:tc>
        <w:tc>
          <w:tcPr>
            <w:tcW w:w="1898" w:type="dxa"/>
            <w:vAlign w:val="bottom"/>
          </w:tcPr>
          <w:p w14:paraId="2D521DD6" w14:textId="1DFB30BB" w:rsidR="00985DBA" w:rsidRPr="000B2688" w:rsidRDefault="00FC244D">
            <w:pPr>
              <w:contextualSpacing w:val="0"/>
              <w:jc w:val="center"/>
              <w:rPr>
                <w:color w:val="00B050"/>
              </w:rPr>
            </w:pPr>
            <w:r>
              <w:rPr>
                <w:color w:val="00B050"/>
              </w:rPr>
              <w:t>8817</w:t>
            </w:r>
          </w:p>
        </w:tc>
      </w:tr>
      <w:tr w:rsidR="00985DBA" w14:paraId="6EF52559" w14:textId="77777777">
        <w:trPr>
          <w:trHeight w:val="260"/>
          <w:jc w:val="center"/>
        </w:trPr>
        <w:tc>
          <w:tcPr>
            <w:tcW w:w="1897" w:type="dxa"/>
            <w:vAlign w:val="bottom"/>
          </w:tcPr>
          <w:p w14:paraId="79B1B268" w14:textId="31F262A5" w:rsidR="00985DBA" w:rsidRPr="000B2688" w:rsidRDefault="000B2688">
            <w:pPr>
              <w:contextualSpacing w:val="0"/>
              <w:jc w:val="center"/>
              <w:rPr>
                <w:color w:val="00B050"/>
              </w:rPr>
            </w:pPr>
            <w:r w:rsidRPr="000B2688">
              <w:rPr>
                <w:color w:val="00B050"/>
              </w:rPr>
              <w:t>2341</w:t>
            </w:r>
          </w:p>
        </w:tc>
        <w:tc>
          <w:tcPr>
            <w:tcW w:w="1898" w:type="dxa"/>
            <w:vAlign w:val="bottom"/>
          </w:tcPr>
          <w:p w14:paraId="31163532" w14:textId="58A09266" w:rsidR="00985DBA" w:rsidRPr="000B2688" w:rsidRDefault="00FC244D">
            <w:pPr>
              <w:contextualSpacing w:val="0"/>
              <w:jc w:val="center"/>
              <w:rPr>
                <w:color w:val="00B050"/>
              </w:rPr>
            </w:pPr>
            <w:r>
              <w:rPr>
                <w:color w:val="00B050"/>
              </w:rPr>
              <w:t>12286</w:t>
            </w:r>
          </w:p>
        </w:tc>
        <w:tc>
          <w:tcPr>
            <w:tcW w:w="1898" w:type="dxa"/>
            <w:vAlign w:val="bottom"/>
          </w:tcPr>
          <w:p w14:paraId="3C038AEB" w14:textId="5571B404" w:rsidR="00985DBA" w:rsidRPr="000B2688" w:rsidRDefault="00FC244D">
            <w:pPr>
              <w:contextualSpacing w:val="0"/>
              <w:jc w:val="center"/>
              <w:rPr>
                <w:color w:val="00B050"/>
              </w:rPr>
            </w:pPr>
            <w:r>
              <w:rPr>
                <w:color w:val="00B050"/>
              </w:rPr>
              <w:t>9524</w:t>
            </w:r>
          </w:p>
        </w:tc>
      </w:tr>
    </w:tbl>
    <w:p w14:paraId="47BF3DBF" w14:textId="53DEC156" w:rsidR="00207C7D" w:rsidRDefault="00207C7D">
      <w:pPr>
        <w:spacing w:line="240" w:lineRule="auto"/>
      </w:pPr>
    </w:p>
    <w:p w14:paraId="0D901A94" w14:textId="77777777" w:rsidR="00985DBA" w:rsidRDefault="00E66B7E">
      <w:pPr>
        <w:pStyle w:val="Heading2"/>
      </w:pPr>
      <w:r>
        <w:t>Step 4: Analysis and Writeup</w:t>
      </w:r>
    </w:p>
    <w:p w14:paraId="6C585603" w14:textId="77777777" w:rsidR="00985DBA" w:rsidRDefault="00E66B7E">
      <w:pPr>
        <w:spacing w:line="240" w:lineRule="auto"/>
      </w:pPr>
      <w:r>
        <w:rPr>
          <w:i/>
        </w:rPr>
        <w:t>Conduct your A/B analysis and create a short report outlining your results and recommendations. (250 words limit)</w:t>
      </w:r>
    </w:p>
    <w:p w14:paraId="13E89E6A" w14:textId="77777777" w:rsidR="00985DBA" w:rsidRDefault="00985DBA">
      <w:pPr>
        <w:spacing w:line="240" w:lineRule="auto"/>
      </w:pPr>
    </w:p>
    <w:p w14:paraId="5E11FC95" w14:textId="77777777" w:rsidR="00985DBA" w:rsidRDefault="00E66B7E">
      <w:pPr>
        <w:spacing w:line="240" w:lineRule="auto"/>
      </w:pPr>
      <w:r>
        <w:rPr>
          <w:i/>
        </w:rPr>
        <w:t>Answer these questions. Be sure to include visualizations from your analysis:</w:t>
      </w:r>
    </w:p>
    <w:p w14:paraId="7313C32E" w14:textId="77777777" w:rsidR="00985DBA" w:rsidRDefault="00985DBA">
      <w:pPr>
        <w:spacing w:line="240" w:lineRule="auto"/>
      </w:pPr>
    </w:p>
    <w:p w14:paraId="5833C0DB" w14:textId="5EE7C8A3" w:rsidR="00985DBA" w:rsidRDefault="00E66B7E">
      <w:pPr>
        <w:numPr>
          <w:ilvl w:val="0"/>
          <w:numId w:val="1"/>
        </w:numPr>
        <w:spacing w:line="240" w:lineRule="auto"/>
        <w:ind w:hanging="360"/>
      </w:pPr>
      <w:r>
        <w:t xml:space="preserve">What is your recommendation - Should the company roll out the updated menu to all stores? </w:t>
      </w:r>
    </w:p>
    <w:p w14:paraId="7D08FF89" w14:textId="77777777" w:rsidR="000B2688" w:rsidRDefault="00CD4F78" w:rsidP="000B2688">
      <w:pPr>
        <w:spacing w:line="240" w:lineRule="auto"/>
        <w:ind w:left="720"/>
        <w:rPr>
          <w:color w:val="00B050"/>
        </w:rPr>
      </w:pPr>
      <w:r w:rsidRPr="00CD4F78">
        <w:rPr>
          <w:color w:val="00B050"/>
        </w:rPr>
        <w:t>The Lift Analysis and T-test below highlights why the company should roll out the updated menu. The p-value is 0.0000</w:t>
      </w:r>
      <w:r w:rsidR="008E76B6">
        <w:rPr>
          <w:color w:val="00B050"/>
        </w:rPr>
        <w:t>0</w:t>
      </w:r>
      <w:r w:rsidRPr="00CD4F78">
        <w:rPr>
          <w:color w:val="00B050"/>
        </w:rPr>
        <w:t>4, providing a significance of 99.9999</w:t>
      </w:r>
      <w:r w:rsidR="008E76B6">
        <w:rPr>
          <w:color w:val="00B050"/>
        </w:rPr>
        <w:t>96</w:t>
      </w:r>
      <w:r w:rsidRPr="00CD4F78">
        <w:rPr>
          <w:color w:val="00B050"/>
        </w:rPr>
        <w:t xml:space="preserve"> (rounded </w:t>
      </w:r>
      <w:r w:rsidRPr="00CD4F78">
        <w:rPr>
          <w:color w:val="00B050"/>
        </w:rPr>
        <w:lastRenderedPageBreak/>
        <w:t xml:space="preserve">up to 100.0% in the significance level of the lift analysis). With the new updated menu, each shop can expect an increase of </w:t>
      </w:r>
      <w:r w:rsidR="008E76B6">
        <w:rPr>
          <w:color w:val="00B050"/>
        </w:rPr>
        <w:t>44</w:t>
      </w:r>
      <w:r w:rsidRPr="00CD4F78">
        <w:rPr>
          <w:color w:val="00B050"/>
        </w:rPr>
        <w:t xml:space="preserve">.5% in their profits per week. For the restaurants in the analysis, this is an additional </w:t>
      </w:r>
      <w:r w:rsidR="008E76B6">
        <w:rPr>
          <w:color w:val="00B050"/>
        </w:rPr>
        <w:t>718</w:t>
      </w:r>
      <w:r w:rsidRPr="00CD4F78">
        <w:rPr>
          <w:color w:val="00B050"/>
        </w:rPr>
        <w:t xml:space="preserve"> dollars per week</w:t>
      </w:r>
      <w:r>
        <w:rPr>
          <w:color w:val="00B050"/>
        </w:rPr>
        <w:t xml:space="preserve"> in profit (gross margin)</w:t>
      </w:r>
      <w:r w:rsidRPr="00CD4F78">
        <w:rPr>
          <w:color w:val="00B050"/>
        </w:rPr>
        <w:t>.</w:t>
      </w:r>
    </w:p>
    <w:p w14:paraId="004A94F7" w14:textId="2C2C7242" w:rsidR="000B2688" w:rsidRDefault="00FC244D" w:rsidP="00FC244D">
      <w:pPr>
        <w:spacing w:line="240" w:lineRule="auto"/>
        <w:ind w:left="720"/>
      </w:pPr>
      <w:r>
        <w:rPr>
          <w:noProof/>
        </w:rPr>
        <w:drawing>
          <wp:inline distT="0" distB="0" distL="0" distR="0" wp14:anchorId="00FDBAA1" wp14:editId="3FE5AAE2">
            <wp:extent cx="5577840" cy="1866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533" t="51023" r="3525" b="14467"/>
                    <a:stretch/>
                  </pic:blipFill>
                  <pic:spPr bwMode="auto">
                    <a:xfrm>
                      <a:off x="0" y="0"/>
                      <a:ext cx="5589618" cy="1870842"/>
                    </a:xfrm>
                    <a:prstGeom prst="rect">
                      <a:avLst/>
                    </a:prstGeom>
                    <a:ln>
                      <a:noFill/>
                    </a:ln>
                    <a:extLst>
                      <a:ext uri="{53640926-AAD7-44D8-BBD7-CCE9431645EC}">
                        <a14:shadowObscured xmlns:a14="http://schemas.microsoft.com/office/drawing/2010/main"/>
                      </a:ext>
                    </a:extLst>
                  </pic:spPr>
                </pic:pic>
              </a:graphicData>
            </a:graphic>
          </wp:inline>
        </w:drawing>
      </w:r>
    </w:p>
    <w:p w14:paraId="59E76117" w14:textId="50C7B856" w:rsidR="00CD4F78" w:rsidRDefault="00FC244D" w:rsidP="00FC244D">
      <w:pPr>
        <w:spacing w:line="240" w:lineRule="auto"/>
        <w:ind w:left="720"/>
      </w:pPr>
      <w:r>
        <w:rPr>
          <w:noProof/>
        </w:rPr>
        <w:drawing>
          <wp:inline distT="0" distB="0" distL="0" distR="0" wp14:anchorId="42ABE93C" wp14:editId="387B70F2">
            <wp:extent cx="5568131"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5" t="72333" r="4969" b="12308"/>
                    <a:stretch/>
                  </pic:blipFill>
                  <pic:spPr bwMode="auto">
                    <a:xfrm>
                      <a:off x="0" y="0"/>
                      <a:ext cx="5597009" cy="976589"/>
                    </a:xfrm>
                    <a:prstGeom prst="rect">
                      <a:avLst/>
                    </a:prstGeom>
                    <a:ln>
                      <a:noFill/>
                    </a:ln>
                    <a:extLst>
                      <a:ext uri="{53640926-AAD7-44D8-BBD7-CCE9431645EC}">
                        <a14:shadowObscured xmlns:a14="http://schemas.microsoft.com/office/drawing/2010/main"/>
                      </a:ext>
                    </a:extLst>
                  </pic:spPr>
                </pic:pic>
              </a:graphicData>
            </a:graphic>
          </wp:inline>
        </w:drawing>
      </w:r>
    </w:p>
    <w:p w14:paraId="547A8938" w14:textId="722DA157" w:rsidR="00985DBA" w:rsidRDefault="00E66B7E">
      <w:pPr>
        <w:numPr>
          <w:ilvl w:val="0"/>
          <w:numId w:val="1"/>
        </w:numPr>
        <w:spacing w:line="240" w:lineRule="auto"/>
        <w:ind w:hanging="360"/>
      </w:pPr>
      <w:r>
        <w:t xml:space="preserve">What is the lift from the new menu for West and Central regions (include statistical significance)? </w:t>
      </w:r>
    </w:p>
    <w:p w14:paraId="5B937E90" w14:textId="1B240AB0" w:rsidR="00CD4F78" w:rsidRDefault="008E49CD" w:rsidP="00CD4F78">
      <w:pPr>
        <w:spacing w:line="240" w:lineRule="auto"/>
        <w:ind w:left="720"/>
      </w:pPr>
      <w:r w:rsidRPr="008E49CD">
        <w:rPr>
          <w:color w:val="00B050"/>
        </w:rPr>
        <w:t xml:space="preserve">Below, for the West region, the expected lift is </w:t>
      </w:r>
      <w:r w:rsidR="00362E1C">
        <w:rPr>
          <w:color w:val="00B050"/>
        </w:rPr>
        <w:t>37.0</w:t>
      </w:r>
      <w:r w:rsidRPr="008E49CD">
        <w:rPr>
          <w:color w:val="00B050"/>
        </w:rPr>
        <w:t>% with a p-value of 0.00</w:t>
      </w:r>
      <w:r w:rsidR="00362E1C">
        <w:rPr>
          <w:color w:val="00B050"/>
        </w:rPr>
        <w:t>6011</w:t>
      </w:r>
      <w:r w:rsidRPr="008E49CD">
        <w:rPr>
          <w:color w:val="00B050"/>
        </w:rPr>
        <w:t>. This gives a significance level of 99.</w:t>
      </w:r>
      <w:r w:rsidR="00362E1C">
        <w:rPr>
          <w:color w:val="00B050"/>
        </w:rPr>
        <w:t>4</w:t>
      </w:r>
      <w:r w:rsidRPr="008E49CD">
        <w:rPr>
          <w:color w:val="00B050"/>
        </w:rPr>
        <w:t>%, which is statistically significant.</w:t>
      </w:r>
    </w:p>
    <w:p w14:paraId="63246D61" w14:textId="7AAC754C" w:rsidR="008E49CD" w:rsidRDefault="00362E1C" w:rsidP="00CD4F78">
      <w:pPr>
        <w:spacing w:line="240" w:lineRule="auto"/>
        <w:ind w:left="720"/>
      </w:pPr>
      <w:r>
        <w:rPr>
          <w:noProof/>
        </w:rPr>
        <w:drawing>
          <wp:inline distT="0" distB="0" distL="0" distR="0" wp14:anchorId="451CF12D" wp14:editId="37568EEC">
            <wp:extent cx="5557426" cy="16192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372" t="43515" r="3525" b="22264"/>
                    <a:stretch/>
                  </pic:blipFill>
                  <pic:spPr bwMode="auto">
                    <a:xfrm>
                      <a:off x="0" y="0"/>
                      <a:ext cx="5562191" cy="1620638"/>
                    </a:xfrm>
                    <a:prstGeom prst="rect">
                      <a:avLst/>
                    </a:prstGeom>
                    <a:ln>
                      <a:noFill/>
                    </a:ln>
                    <a:extLst>
                      <a:ext uri="{53640926-AAD7-44D8-BBD7-CCE9431645EC}">
                        <a14:shadowObscured xmlns:a14="http://schemas.microsoft.com/office/drawing/2010/main"/>
                      </a:ext>
                    </a:extLst>
                  </pic:spPr>
                </pic:pic>
              </a:graphicData>
            </a:graphic>
          </wp:inline>
        </w:drawing>
      </w:r>
    </w:p>
    <w:p w14:paraId="3FE9CFB1" w14:textId="619CECDD" w:rsidR="008E49CD" w:rsidRDefault="00362E1C" w:rsidP="00CD4F78">
      <w:pPr>
        <w:spacing w:line="240" w:lineRule="auto"/>
        <w:ind w:left="720"/>
      </w:pPr>
      <w:r>
        <w:rPr>
          <w:noProof/>
        </w:rPr>
        <w:drawing>
          <wp:inline distT="0" distB="0" distL="0" distR="0" wp14:anchorId="5C37BA1E" wp14:editId="4D7675F1">
            <wp:extent cx="5565183"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372" t="75371" r="3525" b="12138"/>
                    <a:stretch/>
                  </pic:blipFill>
                  <pic:spPr bwMode="auto">
                    <a:xfrm>
                      <a:off x="0" y="0"/>
                      <a:ext cx="5568484" cy="590900"/>
                    </a:xfrm>
                    <a:prstGeom prst="rect">
                      <a:avLst/>
                    </a:prstGeom>
                    <a:ln>
                      <a:noFill/>
                    </a:ln>
                    <a:extLst>
                      <a:ext uri="{53640926-AAD7-44D8-BBD7-CCE9431645EC}">
                        <a14:shadowObscured xmlns:a14="http://schemas.microsoft.com/office/drawing/2010/main"/>
                      </a:ext>
                    </a:extLst>
                  </pic:spPr>
                </pic:pic>
              </a:graphicData>
            </a:graphic>
          </wp:inline>
        </w:drawing>
      </w:r>
    </w:p>
    <w:p w14:paraId="63CF4837" w14:textId="37A1285E" w:rsidR="008E49CD" w:rsidRDefault="008E49CD" w:rsidP="00CD4F78">
      <w:pPr>
        <w:spacing w:line="240" w:lineRule="auto"/>
        <w:ind w:left="720"/>
        <w:rPr>
          <w:color w:val="00B050"/>
        </w:rPr>
      </w:pPr>
      <w:r w:rsidRPr="008E49CD">
        <w:rPr>
          <w:color w:val="00B050"/>
        </w:rPr>
        <w:t xml:space="preserve">Below, for the </w:t>
      </w:r>
      <w:r>
        <w:rPr>
          <w:color w:val="00B050"/>
        </w:rPr>
        <w:t>Central</w:t>
      </w:r>
      <w:r w:rsidRPr="008E49CD">
        <w:rPr>
          <w:color w:val="00B050"/>
        </w:rPr>
        <w:t xml:space="preserve"> region, the expected lift is 4</w:t>
      </w:r>
      <w:r w:rsidR="00362E1C">
        <w:rPr>
          <w:color w:val="00B050"/>
        </w:rPr>
        <w:t>4.6</w:t>
      </w:r>
      <w:r w:rsidRPr="008E49CD">
        <w:rPr>
          <w:color w:val="00B050"/>
        </w:rPr>
        <w:t>% with a p-value of 0.00</w:t>
      </w:r>
      <w:r w:rsidR="00362E1C">
        <w:rPr>
          <w:color w:val="00B050"/>
        </w:rPr>
        <w:t>3754</w:t>
      </w:r>
      <w:r w:rsidRPr="008E49CD">
        <w:rPr>
          <w:color w:val="00B050"/>
        </w:rPr>
        <w:t>. This gives a significance level of 99.</w:t>
      </w:r>
      <w:r w:rsidR="0053205E">
        <w:rPr>
          <w:color w:val="00B050"/>
        </w:rPr>
        <w:t>6</w:t>
      </w:r>
      <w:r w:rsidRPr="008E49CD">
        <w:rPr>
          <w:color w:val="00B050"/>
        </w:rPr>
        <w:t>%, which is statistically significant.</w:t>
      </w:r>
    </w:p>
    <w:p w14:paraId="3C35A452" w14:textId="66A78A34" w:rsidR="008E49CD" w:rsidRDefault="00362E1C" w:rsidP="00CD4F78">
      <w:pPr>
        <w:spacing w:line="240" w:lineRule="auto"/>
        <w:ind w:left="720"/>
      </w:pPr>
      <w:r>
        <w:rPr>
          <w:noProof/>
        </w:rPr>
        <w:drawing>
          <wp:inline distT="0" distB="0" distL="0" distR="0" wp14:anchorId="446DD7BD" wp14:editId="28BEDE9D">
            <wp:extent cx="5503463" cy="1619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372" t="36415" r="3846" b="29076"/>
                    <a:stretch/>
                  </pic:blipFill>
                  <pic:spPr bwMode="auto">
                    <a:xfrm>
                      <a:off x="0" y="0"/>
                      <a:ext cx="5508413" cy="1620707"/>
                    </a:xfrm>
                    <a:prstGeom prst="rect">
                      <a:avLst/>
                    </a:prstGeom>
                    <a:ln>
                      <a:noFill/>
                    </a:ln>
                    <a:extLst>
                      <a:ext uri="{53640926-AAD7-44D8-BBD7-CCE9431645EC}">
                        <a14:shadowObscured xmlns:a14="http://schemas.microsoft.com/office/drawing/2010/main"/>
                      </a:ext>
                    </a:extLst>
                  </pic:spPr>
                </pic:pic>
              </a:graphicData>
            </a:graphic>
          </wp:inline>
        </w:drawing>
      </w:r>
    </w:p>
    <w:p w14:paraId="75A30A68" w14:textId="3D9F6340" w:rsidR="008E49CD" w:rsidRDefault="00362E1C" w:rsidP="00CD4F78">
      <w:pPr>
        <w:spacing w:line="240" w:lineRule="auto"/>
        <w:ind w:left="720"/>
      </w:pPr>
      <w:r>
        <w:rPr>
          <w:noProof/>
        </w:rPr>
        <w:lastRenderedPageBreak/>
        <w:drawing>
          <wp:inline distT="0" distB="0" distL="0" distR="0" wp14:anchorId="26AF6B03" wp14:editId="213427B2">
            <wp:extent cx="5594449" cy="10001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776" t="71959" r="4166" b="12305"/>
                    <a:stretch/>
                  </pic:blipFill>
                  <pic:spPr bwMode="auto">
                    <a:xfrm>
                      <a:off x="0" y="0"/>
                      <a:ext cx="5596135" cy="1000426"/>
                    </a:xfrm>
                    <a:prstGeom prst="rect">
                      <a:avLst/>
                    </a:prstGeom>
                    <a:ln>
                      <a:noFill/>
                    </a:ln>
                    <a:extLst>
                      <a:ext uri="{53640926-AAD7-44D8-BBD7-CCE9431645EC}">
                        <a14:shadowObscured xmlns:a14="http://schemas.microsoft.com/office/drawing/2010/main"/>
                      </a:ext>
                    </a:extLst>
                  </pic:spPr>
                </pic:pic>
              </a:graphicData>
            </a:graphic>
          </wp:inline>
        </w:drawing>
      </w:r>
    </w:p>
    <w:p w14:paraId="7BEF0640" w14:textId="106BF629" w:rsidR="00985DBA" w:rsidRDefault="00E66B7E">
      <w:pPr>
        <w:numPr>
          <w:ilvl w:val="0"/>
          <w:numId w:val="1"/>
        </w:numPr>
        <w:spacing w:line="240" w:lineRule="auto"/>
        <w:ind w:hanging="360"/>
      </w:pPr>
      <w:r>
        <w:t>What is the lift from the new menu overall?</w:t>
      </w:r>
    </w:p>
    <w:p w14:paraId="61AD5D70" w14:textId="751AE91F" w:rsidR="008E76B6" w:rsidRPr="0053205E" w:rsidRDefault="00CC3B1E" w:rsidP="008E76B6">
      <w:pPr>
        <w:pStyle w:val="ListParagraph"/>
        <w:rPr>
          <w:color w:val="00B050"/>
        </w:rPr>
      </w:pPr>
      <w:r w:rsidRPr="0053205E">
        <w:rPr>
          <w:color w:val="00B050"/>
        </w:rPr>
        <w:t>In the 133 restaurants, there are 91 in the West and 42 in the Central region</w:t>
      </w:r>
      <w:r w:rsidR="008E49CD" w:rsidRPr="0053205E">
        <w:rPr>
          <w:color w:val="00B050"/>
        </w:rPr>
        <w:t xml:space="preserve">s. Therefore, by averaging the lift based on regional lift, </w:t>
      </w:r>
      <m:oMath>
        <m:r>
          <w:rPr>
            <w:rFonts w:ascii="Cambria Math" w:hAnsi="Cambria Math"/>
            <w:color w:val="00B050"/>
          </w:rPr>
          <m:t>(91*</m:t>
        </m:r>
        <m:r>
          <w:rPr>
            <w:rFonts w:ascii="Cambria Math" w:hAnsi="Cambria Math"/>
            <w:color w:val="00B050"/>
          </w:rPr>
          <m:t>37.0</m:t>
        </m:r>
        <m:r>
          <w:rPr>
            <w:rFonts w:ascii="Cambria Math" w:hAnsi="Cambria Math"/>
            <w:color w:val="00B050"/>
          </w:rPr>
          <m:t>%+42*4</m:t>
        </m:r>
        <m:r>
          <w:rPr>
            <w:rFonts w:ascii="Cambria Math" w:hAnsi="Cambria Math"/>
            <w:color w:val="00B050"/>
          </w:rPr>
          <m:t>4.6</m:t>
        </m:r>
        <m:r>
          <w:rPr>
            <w:rFonts w:ascii="Cambria Math" w:hAnsi="Cambria Math"/>
            <w:color w:val="00B050"/>
          </w:rPr>
          <m:t>%)/133=</m:t>
        </m:r>
      </m:oMath>
      <w:r w:rsidR="0053205E" w:rsidRPr="0053205E">
        <w:rPr>
          <w:color w:val="00B050"/>
        </w:rPr>
        <w:t xml:space="preserve"> </w:t>
      </w:r>
      <w:r w:rsidR="00362E1C">
        <w:rPr>
          <w:color w:val="00B050"/>
        </w:rPr>
        <w:t>39</w:t>
      </w:r>
      <w:bookmarkStart w:id="2" w:name="_GoBack"/>
      <w:bookmarkEnd w:id="2"/>
      <w:r w:rsidR="0053205E" w:rsidRPr="0053205E">
        <w:rPr>
          <w:color w:val="00B050"/>
        </w:rPr>
        <w:t>.</w:t>
      </w:r>
      <w:r w:rsidR="00362E1C">
        <w:rPr>
          <w:color w:val="00B050"/>
        </w:rPr>
        <w:t>4</w:t>
      </w:r>
      <w:r w:rsidR="0053205E" w:rsidRPr="0053205E">
        <w:rPr>
          <w:color w:val="00B050"/>
        </w:rPr>
        <w:t>%</w:t>
      </w:r>
      <w:r w:rsidR="0053205E">
        <w:rPr>
          <w:color w:val="00B050"/>
        </w:rPr>
        <w:t>.</w:t>
      </w:r>
    </w:p>
    <w:p w14:paraId="18CF3EEA" w14:textId="77777777" w:rsidR="008E76B6" w:rsidRDefault="008E76B6" w:rsidP="008E76B6">
      <w:pPr>
        <w:spacing w:line="240" w:lineRule="auto"/>
        <w:ind w:left="720"/>
      </w:pPr>
    </w:p>
    <w:p w14:paraId="1BCFCE72" w14:textId="77777777" w:rsidR="00985DBA" w:rsidRDefault="00985DBA"/>
    <w:p w14:paraId="0E2FB55F" w14:textId="77777777" w:rsidR="00985DBA" w:rsidRDefault="00985DBA"/>
    <w:p w14:paraId="574DBBB3" w14:textId="77777777" w:rsidR="00985DBA" w:rsidRDefault="00E66B7E">
      <w:pPr>
        <w:pStyle w:val="Heading2"/>
      </w:pPr>
      <w:bookmarkStart w:id="3" w:name="_1fob9te" w:colFirst="0" w:colLast="0"/>
      <w:bookmarkEnd w:id="3"/>
      <w:r>
        <w:t>Before you Submit</w:t>
      </w:r>
    </w:p>
    <w:p w14:paraId="5C26B916" w14:textId="77777777" w:rsidR="00985DBA" w:rsidRDefault="00E66B7E">
      <w:r>
        <w:t xml:space="preserve">Please check your answers against the requirements of the project dictated by the </w:t>
      </w:r>
      <w:hyperlink r:id="rId16" w:anchor="!/rubrics/287/view">
        <w:r>
          <w:rPr>
            <w:color w:val="0000FF"/>
            <w:u w:val="single"/>
          </w:rPr>
          <w:t>rubric</w:t>
        </w:r>
      </w:hyperlink>
      <w:r>
        <w:t xml:space="preserve"> here. Reviewers will use this rubric to grade your project.</w:t>
      </w:r>
    </w:p>
    <w:p w14:paraId="549772E2" w14:textId="77777777" w:rsidR="00985DBA" w:rsidRDefault="00985DBA"/>
    <w:sectPr w:rsidR="00985D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87127"/>
    <w:multiLevelType w:val="multilevel"/>
    <w:tmpl w:val="76F039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71BA35CC"/>
    <w:multiLevelType w:val="multilevel"/>
    <w:tmpl w:val="342AAA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DA74548"/>
    <w:multiLevelType w:val="multilevel"/>
    <w:tmpl w:val="25C085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DBA"/>
    <w:rsid w:val="000B2688"/>
    <w:rsid w:val="001475F2"/>
    <w:rsid w:val="00207C7D"/>
    <w:rsid w:val="00304CE2"/>
    <w:rsid w:val="00334517"/>
    <w:rsid w:val="00362E1C"/>
    <w:rsid w:val="0053205E"/>
    <w:rsid w:val="00552B2E"/>
    <w:rsid w:val="00624C76"/>
    <w:rsid w:val="0071083E"/>
    <w:rsid w:val="00791292"/>
    <w:rsid w:val="00883B12"/>
    <w:rsid w:val="008E49CD"/>
    <w:rsid w:val="008E76B6"/>
    <w:rsid w:val="009102EB"/>
    <w:rsid w:val="009139F2"/>
    <w:rsid w:val="00985DBA"/>
    <w:rsid w:val="00AB16B6"/>
    <w:rsid w:val="00B73066"/>
    <w:rsid w:val="00B83CA0"/>
    <w:rsid w:val="00B91855"/>
    <w:rsid w:val="00CC3B1E"/>
    <w:rsid w:val="00CD4F78"/>
    <w:rsid w:val="00E463A2"/>
    <w:rsid w:val="00E4696F"/>
    <w:rsid w:val="00E66B7E"/>
    <w:rsid w:val="00F0423D"/>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E604"/>
  <w15:docId w15:val="{AFF41357-AA1F-4623-A83D-AA9C155B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8E76B6"/>
    <w:pPr>
      <w:ind w:left="720"/>
      <w:contextualSpacing/>
    </w:pPr>
  </w:style>
  <w:style w:type="character" w:styleId="PlaceholderText">
    <w:name w:val="Placeholder Text"/>
    <w:basedOn w:val="DefaultParagraphFont"/>
    <w:uiPriority w:val="99"/>
    <w:semiHidden/>
    <w:rsid w:val="008E49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view.udacity.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1752</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Floyd</dc:creator>
  <cp:keywords/>
  <dc:description/>
  <cp:lastModifiedBy>Michael Floyd</cp:lastModifiedBy>
  <cp:revision>6</cp:revision>
  <cp:lastPrinted>2019-12-30T09:15:00Z</cp:lastPrinted>
  <dcterms:created xsi:type="dcterms:W3CDTF">2019-12-28T07:09:00Z</dcterms:created>
  <dcterms:modified xsi:type="dcterms:W3CDTF">2019-12-31T07:17:00Z</dcterms:modified>
</cp:coreProperties>
</file>