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Shotgun Metagenomics</w:t>
        <w:br/>
        <w:t>Taxonomic &amp; Functional Profiling Pipeline</w:t>
      </w:r>
    </w:p>
    <w:p>
      <w:pPr>
        <w:jc w:val="center"/>
      </w:pPr>
      <w:r>
        <w:rPr>
          <w:i/>
          <w:sz w:val="24"/>
        </w:rPr>
        <w:t>Kraken2 + Bracken • MetaPhlAn • HUMAnN 3.9</w:t>
      </w:r>
    </w:p>
    <w:p>
      <w:r>
        <w:rPr>
          <w:b/>
        </w:rPr>
        <w:t xml:space="preserve">Purpose: </w:t>
      </w:r>
      <w:r>
        <w:t>A reproducible command-line workflow for taxonomic profiling and functional/metabolic profiling of shotgun metagenomic reads. The commands below reflect the working environment and successful SRR33005305 analysis documented during this project.</w:t>
      </w:r>
    </w:p>
    <w:p>
      <w:pPr>
        <w:pStyle w:val="Heading1"/>
      </w:pPr>
      <w:r>
        <w:t>1. Workflow at a glance</w:t>
      </w:r>
    </w:p>
    <w:p>
      <w:r>
        <w:t>The analysis has two complementary taxonomic approaches and one functional layer:</w:t>
      </w:r>
    </w:p>
    <w:p>
      <w:pPr>
        <w:pStyle w:val="ListBullet"/>
      </w:pPr>
      <w:r>
        <w:t>Kraken2 → broad k-mer-based taxonomic classification; Bracken → abundance re-estimation at a selected taxonomic rank.</w:t>
      </w:r>
    </w:p>
    <w:p>
      <w:pPr>
        <w:pStyle w:val="ListBullet"/>
      </w:pPr>
      <w:r>
        <w:t>MetaPhlAn → marker-gene-based taxonomic profiling; the resulting profile can guide HUMAnN's functional search.</w:t>
      </w:r>
    </w:p>
    <w:p>
      <w:pPr>
        <w:pStyle w:val="ListBullet"/>
      </w:pPr>
      <w:r>
        <w:t>HUMAnN → microbial gene-family and metabolic-pathway profiling.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4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Kraken2–Bracken taxonomic profiling overview.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024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Relationship among MetaPhlAn, HUMAnN, aligners, and reference databases.</w:t>
      </w:r>
    </w:p>
    <w:p>
      <w:pPr>
        <w:pStyle w:val="Heading1"/>
      </w:pPr>
      <w:r>
        <w:t>2. Recommended project organization</w:t>
      </w:r>
    </w:p>
    <w:p>
      <w:r>
        <w:rPr>
          <w:b/>
        </w:rPr>
        <w:t xml:space="preserve">Correction from the earlier draft: </w:t>
      </w:r>
      <w:r>
        <w:t>Use one consistent naming scheme. The earlier document mixed 08_abundance/08_taxonomy and 09_function/09_functional, and used both human and humann. The structure below matches the commands actually used in this project.</w:t>
      </w:r>
    </w:p>
    <w:p>
      <w:pPr>
        <w:pStyle w:val="CodeBlock"/>
        <w:spacing w:before="60" w:after="120"/>
        <w:ind w:left="288"/>
      </w:pPr>
      <w:r>
        <w:t>cd ~/Metagenomics_Analysis</w:t>
        <w:br/>
        <w:br/>
        <w:t>mkdir -p \</w:t>
        <w:br/>
        <w:t>00_metadata \</w:t>
        <w:br/>
        <w:t>01_raw_data \</w:t>
        <w:br/>
        <w:t>02_fastqc_raw \</w:t>
        <w:br/>
        <w:t>03_trimmed \</w:t>
        <w:br/>
        <w:t>04_fastqc_trimmed \</w:t>
        <w:br/>
        <w:t>05_multiqc \</w:t>
        <w:br/>
        <w:t>06_host_removed \</w:t>
        <w:br/>
        <w:t>07_taxonomy \</w:t>
        <w:br/>
        <w:t>08_abundance \</w:t>
        <w:br/>
        <w:t>09_functional \</w:t>
        <w:br/>
        <w:t>10_assembly \</w:t>
        <w:br/>
        <w:t>11_genes \</w:t>
        <w:br/>
        <w:t>12_MAGS \</w:t>
        <w:br/>
        <w:t>13_AMR \</w:t>
        <w:br/>
        <w:t>14_virulence \</w:t>
        <w:br/>
        <w:t>15_MGE \</w:t>
        <w:br/>
        <w:t>16_R_analysis \</w:t>
        <w:br/>
        <w:t>17_figures \</w:t>
        <w:br/>
        <w:t>18_results \</w:t>
        <w:br/>
        <w:t>Scripts</w:t>
      </w:r>
    </w:p>
    <w:p>
      <w:pPr>
        <w:pStyle w:val="Heading1"/>
      </w:pPr>
      <w:r>
        <w:t>3. Input data and basic QC</w:t>
      </w:r>
    </w:p>
    <w:p>
      <w:r>
        <w:t>For SRA data, download the accession, split paired reads, compress them, and verify the files. FastQC/fastp/MultiQC should be performed before taxonomy and functional profiling when raw-read QC is part of the project.</w:t>
      </w:r>
    </w:p>
    <w:p>
      <w:pPr>
        <w:pStyle w:val="CodeBlock"/>
        <w:spacing w:before="60" w:after="120"/>
        <w:ind w:left="288"/>
      </w:pPr>
      <w:r>
        <w:t>conda create -n metagenomics \</w:t>
        <w:br/>
        <w:t>-c conda-forge -c bioconda \</w:t>
        <w:br/>
        <w:t>sra-tools fastqc fastp multiqc seqkit pigz -y</w:t>
        <w:br/>
        <w:br/>
        <w:t>conda activate metagenomics</w:t>
        <w:br/>
        <w:br/>
        <w:t>prefetch SRR33005305</w:t>
        <w:br/>
        <w:br/>
        <w:t>fasterq-dump SRR33005305 \</w:t>
        <w:br/>
        <w:t>--split-files --threads 8 --outdir 01_raw_data</w:t>
        <w:br/>
        <w:br/>
        <w:t>pigz -p 8 01_raw_data/*.fastq</w:t>
        <w:br/>
        <w:br/>
        <w:t>seqkit stats 01_raw_data/*.fastq.gz</w:t>
        <w:br/>
        <w:t>df -h</w:t>
        <w:br/>
        <w:t>free -h</w:t>
        <w:br/>
        <w:t>nproc</w:t>
      </w:r>
    </w:p>
    <w:p>
      <w:r>
        <w:rPr>
          <w:b/>
        </w:rPr>
        <w:t xml:space="preserve">Important: </w:t>
      </w:r>
      <w:r>
        <w:t>Do not treat FASTQ concatenation as a replacement for paired-end handling in tools that explicitly support paired reads. Kraken2 accepts R1/R2 directly. HUMAnN 3.9 accepts one input file, so in this project the paired files were concatenated for HUMAnN; the successful run confirms that this approach worked for this dataset.</w:t>
      </w:r>
    </w:p>
    <w:p>
      <w:pPr>
        <w:pStyle w:val="Heading1"/>
      </w:pPr>
      <w:r>
        <w:t>4. Taxonomic profiling with Kraken2 + Bracken</w:t>
      </w:r>
    </w:p>
    <w:p>
      <w:pPr>
        <w:pStyle w:val="Heading2"/>
      </w:pPr>
      <w:r>
        <w:t>4.1 Install tools</w:t>
      </w:r>
    </w:p>
    <w:p>
      <w:pPr>
        <w:pStyle w:val="CodeBlock"/>
        <w:spacing w:before="60" w:after="120"/>
        <w:ind w:left="288"/>
      </w:pPr>
      <w:r>
        <w:t>conda create -n kraken_env \</w:t>
        <w:br/>
        <w:t>-c conda-forge -c bioconda \</w:t>
        <w:br/>
        <w:t>kraken2=2.1.6 bracken=3.0 -y</w:t>
        <w:br/>
        <w:br/>
        <w:t>conda activate kraken_env</w:t>
        <w:br/>
        <w:br/>
        <w:t>kraken2 --version</w:t>
        <w:br/>
        <w:t>bracken --version</w:t>
      </w:r>
    </w:p>
    <w:p>
      <w:pPr>
        <w:pStyle w:val="Heading2"/>
      </w:pPr>
      <w:r>
        <w:t>4.2 Kraken2 database</w:t>
      </w:r>
    </w:p>
    <w:p>
      <w:r>
        <w:rPr>
          <w:b/>
        </w:rPr>
        <w:t xml:space="preserve">Database choice: </w:t>
      </w:r>
      <w:r>
        <w:t>Use a database appropriate for the project and record its exact build/version. Large standard databases can require substantial storage.</w:t>
      </w:r>
    </w:p>
    <w:p>
      <w:pPr>
        <w:pStyle w:val="CodeBlock"/>
        <w:spacing w:before="60" w:after="120"/>
        <w:ind w:left="288"/>
      </w:pPr>
      <w:r>
        <w:t>mkdir -p ~/Metagenomics_Analysis/databases/kraken2</w:t>
        <w:br/>
        <w:br/>
        <w:t>kraken2-build \</w:t>
        <w:br/>
        <w:t>--standard \</w:t>
        <w:br/>
        <w:t>--use-ftp \</w:t>
        <w:br/>
        <w:t>--db ~/Metagenomics_Analysis/databases/kraken2 \</w:t>
        <w:br/>
        <w:t>--threads 20</w:t>
        <w:br/>
        <w:br/>
        <w:t>kraken2-inspect \</w:t>
        <w:br/>
        <w:t>--db ~/Metagenomics_Analysis/databases/kraken2 | head -30</w:t>
      </w:r>
    </w:p>
    <w:p>
      <w:r>
        <w:rPr>
          <w:b/>
        </w:rPr>
        <w:t xml:space="preserve">Alternative: </w:t>
      </w:r>
      <w:r>
        <w:t>If a full standard database is impractical, use a documented prebuilt/minikraken-style database and verify its checksum before extraction. Record the exact archive name and date in your metadata.</w:t>
      </w:r>
    </w:p>
    <w:p>
      <w:pPr>
        <w:pStyle w:val="Heading2"/>
      </w:pPr>
      <w:r>
        <w:t>4.3 Run Kraken2</w:t>
      </w:r>
    </w:p>
    <w:p>
      <w:pPr>
        <w:pStyle w:val="CodeBlock"/>
        <w:spacing w:before="60" w:after="120"/>
        <w:ind w:left="288"/>
      </w:pPr>
      <w:r>
        <w:t>mkdir -p 07_taxonomy/kraken2</w:t>
        <w:br/>
        <w:br/>
        <w:t>kraken2 \</w:t>
        <w:br/>
        <w:t>--db ~/Metagenomics_Analysis/databases/kraken2 \</w:t>
        <w:br/>
        <w:t>--paired \</w:t>
        <w:br/>
        <w:t>--gzip-compressed \</w:t>
        <w:br/>
        <w:t>--threads 20 \</w:t>
        <w:br/>
        <w:t>--report 07_taxonomy/kraken2/SRR33005305.kraken2.report \</w:t>
        <w:br/>
        <w:t>--output 07_taxonomy/kraken2/SRR33005305.kraken2.out \</w:t>
        <w:br/>
        <w:t>01_raw_data/SRR33005305_1.fastq.gz \</w:t>
        <w:br/>
        <w:t>01_raw_data/SRR33005305_2.fastq.gz</w:t>
        <w:br/>
        <w:br/>
        <w:t>head -30 07_taxonomy/kraken2/SRR33005305.kraken2.report</w:t>
      </w:r>
    </w:p>
    <w:p>
      <w:r>
        <w:rPr>
          <w:b/>
        </w:rPr>
        <w:t xml:space="preserve">Interpretation: </w:t>
      </w:r>
      <w:r>
        <w:t>Kraken2 assigns reads to taxonomic nodes using exact k-mer matches in its database. The report summarizes classified reads across the taxonomic hierarchy. Kraken2 is the classifier; its database supplies the reference k-mers.</w:t>
      </w:r>
    </w:p>
    <w:p>
      <w:pPr>
        <w:pStyle w:val="Heading2"/>
      </w:pPr>
      <w:r>
        <w:t>4.4 Run Bracken</w:t>
      </w:r>
    </w:p>
    <w:p>
      <w:r>
        <w:t>Bracken re-estimates abundance from the Kraken2 classification and redistributes reads to a requested taxonomic rank. The read-length parameter (-r) must match the read length represented by the Bracken database build; do not blindly copy a value between datasets.</w:t>
      </w:r>
    </w:p>
    <w:p>
      <w:pPr>
        <w:pStyle w:val="CodeBlock"/>
        <w:spacing w:before="60" w:after="120"/>
        <w:ind w:left="288"/>
      </w:pPr>
      <w:r>
        <w:t>seqkit stats \</w:t>
        <w:br/>
        <w:t>01_raw_data/SRR33005305_1.fastq.gz \</w:t>
        <w:br/>
        <w:t>01_raw_data/SRR33005305_2.fastq.gz</w:t>
        <w:br/>
        <w:br/>
        <w:t>bracken \</w:t>
        <w:br/>
        <w:t>-d ~/Metagenomics_Analysis/databases/kraken2 \</w:t>
        <w:br/>
        <w:t>-i 07_taxonomy/kraken2/SRR33005305.kraken2.report \</w:t>
        <w:br/>
        <w:t>-o 07_taxonomy/kraken2/SRR33005305.bracken.species.txt \</w:t>
        <w:br/>
        <w:t>-r 200 -l S -t 10</w:t>
        <w:br/>
        <w:br/>
        <w:t>bracken \</w:t>
        <w:br/>
        <w:t>-d ~/Metagenomics_Analysis/databases/kraken2 \</w:t>
        <w:br/>
        <w:t>-i 07_taxonomy/kraken2/SRR33005305.kraken2.report \</w:t>
        <w:br/>
        <w:t>-o 07_taxonomy/kraken2/SRR33005305.bracken.genus.txt \</w:t>
        <w:br/>
        <w:t>-r 200 -l G -t 10</w:t>
      </w:r>
    </w:p>
    <w:p>
      <w:r>
        <w:rPr>
          <w:b/>
        </w:rPr>
        <w:t xml:space="preserve">Caution: </w:t>
      </w:r>
      <w:r>
        <w:t>Before using -r 200 in the final workflow, verify that the Kraken2/Bracken database has been built for 200-bp reads. Your SRR33005305 reads were variable-length (~214–221 bp in the inspected records), so document the exact Bracken database/read-length configuration.</w:t>
      </w:r>
    </w:p>
    <w:p>
      <w:pPr>
        <w:pStyle w:val="Heading1"/>
      </w:pPr>
      <w:r>
        <w:t>5. Taxonomic profiling with MetaPhlAn</w:t>
      </w:r>
    </w:p>
    <w:p>
      <w:r>
        <w:t>MetaPhlAn provides a complementary, marker-gene-based taxonomic profile. It should not be treated as a duplicate of Kraken2/Bracken: the methods use different reference concepts and classification strategies.</w:t>
      </w:r>
    </w:p>
    <w:p>
      <w:r>
        <w:rPr>
          <w:b/>
        </w:rPr>
        <w:t xml:space="preserve">Key distinction: </w:t>
      </w:r>
      <w:r>
        <w:t>Kraken2 asks which taxonomic nodes can be supported by database k-mers; MetaPhlAn uses clade-specific microbial marker information to estimate relative abundance.</w:t>
      </w:r>
    </w:p>
    <w:p>
      <w:pPr>
        <w:pStyle w:val="Heading2"/>
      </w:pPr>
      <w:r>
        <w:t>5.1 Working MetaPhlAn environment</w:t>
      </w:r>
    </w:p>
    <w:p>
      <w:pPr>
        <w:pStyle w:val="CodeBlock"/>
        <w:spacing w:before="60" w:after="120"/>
        <w:ind w:left="288"/>
      </w:pPr>
      <w:r>
        <w:t>conda create -n humann39_env \</w:t>
        <w:br/>
        <w:t>-c conda-forge -c bioconda \</w:t>
        <w:br/>
        <w:t>python=3.11 metaphlan=4.1.1 \</w:t>
        <w:br/>
        <w:t>bowtie2=2.5.5 diamond=2.2.5 pip -y</w:t>
        <w:br/>
        <w:br/>
        <w:t>conda activate humann39_env</w:t>
        <w:br/>
        <w:br/>
        <w:t>python --version</w:t>
        <w:br/>
        <w:t>metaphlan --version</w:t>
        <w:br/>
        <w:t>bowtie2 --version</w:t>
        <w:br/>
        <w:t>diamond version</w:t>
        <w:br/>
        <w:br/>
        <w:t>pip install humann==3.9</w:t>
        <w:br/>
        <w:br/>
        <w:t>humann --version</w:t>
      </w:r>
    </w:p>
    <w:p>
      <w:r>
        <w:rPr>
          <w:b/>
        </w:rPr>
        <w:t xml:space="preserve">Why this environment was needed: </w:t>
      </w:r>
      <w:r>
        <w:t>The first HUMAnN environment contained MetaPhlAn 4.2.5 with a newer database. HUMAnN 3.9 could not communicate cleanly with that MetaPhlAn output/interface. The working solution was to use HUMAnN 3.9 with MetaPhlAn 4.1.1 and the vJun23 MetaPhlAn database.</w:t>
      </w:r>
    </w:p>
    <w:p>
      <w:pPr>
        <w:pStyle w:val="Heading2"/>
      </w:pPr>
      <w:r>
        <w:t>5.2 Install the compatible MetaPhlAn database</w:t>
      </w:r>
    </w:p>
    <w:p>
      <w:pPr>
        <w:pStyle w:val="CodeBlock"/>
        <w:spacing w:before="60" w:after="120"/>
        <w:ind w:left="288"/>
      </w:pPr>
      <w:r>
        <w:t>mkdir -p databases/metaphlan/vJun23</w:t>
        <w:br/>
        <w:br/>
        <w:t>metaphlan \</w:t>
        <w:br/>
        <w:t>--install \</w:t>
        <w:br/>
        <w:t>--db_dir databases/metaphlan/vJun23 \</w:t>
        <w:br/>
        <w:t>--index mpa_vJun23_CHOCOPhlAnSGB_202403</w:t>
        <w:br/>
        <w:br/>
        <w:t>metaphlan --version</w:t>
        <w:br/>
        <w:t>ls -lh databases/metaphlan/vJun23/</w:t>
      </w:r>
    </w:p>
    <w:p>
      <w:r>
        <w:rPr>
          <w:b/>
        </w:rPr>
        <w:t xml:space="preserve">Important: </w:t>
      </w:r>
      <w:r>
        <w:t>Do not use a generic metaphlan --install in the final documented workflow if it silently selects a newer database. The explicit --db_dir and --index make the database version reproducible.</w:t>
      </w:r>
    </w:p>
    <w:p>
      <w:pPr>
        <w:pStyle w:val="Heading2"/>
      </w:pPr>
      <w:r>
        <w:t>5.3 Run MetaPhlAn</w:t>
      </w:r>
    </w:p>
    <w:p>
      <w:pPr>
        <w:pStyle w:val="CodeBlock"/>
        <w:spacing w:before="60" w:after="120"/>
        <w:ind w:left="288"/>
      </w:pPr>
      <w:r>
        <w:t>mkdir -p 08_taxonomy/metaphlan</w:t>
        <w:br/>
        <w:br/>
        <w:t>metaphlan \</w:t>
        <w:br/>
        <w:t>01_raw_data/SRR33005305_1.fastq.gz,01_raw_data/SRR33005305_2.fastq.gz \</w:t>
        <w:br/>
        <w:t>--input_type fastq \</w:t>
        <w:br/>
        <w:t>--nproc 20 \</w:t>
        <w:br/>
        <w:t>--mapout 08_taxonomy/metaphlan/SRR33005305.mapout.bz2 \</w:t>
        <w:br/>
        <w:t>-o 08_taxonomy/metaphlan/SRR33005305_metaphlan_profile.txt</w:t>
        <w:br/>
        <w:br/>
        <w:t>head -30 08_taxonomy/metaphlan/SRR33005305_metaphlan_profile.txt</w:t>
      </w:r>
    </w:p>
    <w:p>
      <w:r>
        <w:rPr>
          <w:b/>
        </w:rPr>
        <w:t xml:space="preserve">Output: </w:t>
      </w:r>
      <w:r>
        <w:t>The profile reports clade names, NCBI tax IDs, relative abundance, and additional merged-species information where applicable.</w:t>
      </w:r>
    </w:p>
    <w:p>
      <w:pPr>
        <w:pStyle w:val="Heading1"/>
      </w:pPr>
      <w:r>
        <w:t>6. HUMAnN functional profiling</w:t>
      </w:r>
    </w:p>
    <w:p>
      <w:pPr>
        <w:pStyle w:val="Heading2"/>
      </w:pPr>
      <w:r>
        <w:t>6.1 The critical concept: aligner vs database</w:t>
      </w:r>
    </w:p>
    <w:p>
      <w:r>
        <w:t>This distinction was clarified during the project and should be explicit in the final document: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Stage</w:t>
            </w:r>
          </w:p>
        </w:tc>
        <w:tc>
          <w:tcPr>
            <w:tcW w:type="dxa" w:w="2556"/>
            <w:shd w:fill="D9EAF7"/>
          </w:tcPr>
          <w:p>
            <w:r>
              <w:t>Aligner / algorithm</w:t>
            </w:r>
          </w:p>
        </w:tc>
        <w:tc>
          <w:tcPr>
            <w:tcW w:type="dxa" w:w="2556"/>
            <w:shd w:fill="D9EAF7"/>
          </w:tcPr>
          <w:p>
            <w:r>
              <w:t>Reference database</w:t>
            </w:r>
          </w:p>
        </w:tc>
        <w:tc>
          <w:tcPr>
            <w:tcW w:type="dxa" w:w="2556"/>
            <w:shd w:fill="D9EAF7"/>
          </w:tcPr>
          <w:p>
            <w:r>
              <w:t>Purpose</w:t>
            </w:r>
          </w:p>
        </w:tc>
      </w:tr>
      <w:tr>
        <w:tc>
          <w:tcPr>
            <w:tcW w:type="dxa" w:w="2556"/>
          </w:tcPr>
          <w:p>
            <w:r>
              <w:t>MetaPhlAn taxonomy</w:t>
            </w:r>
          </w:p>
        </w:tc>
        <w:tc>
          <w:tcPr>
            <w:tcW w:type="dxa" w:w="2556"/>
          </w:tcPr>
          <w:p>
            <w:r>
              <w:t>Bowtie2</w:t>
            </w:r>
          </w:p>
        </w:tc>
        <w:tc>
          <w:tcPr>
            <w:tcW w:type="dxa" w:w="2556"/>
          </w:tcPr>
          <w:p>
            <w:r>
              <w:t>MetaPhlAn marker database</w:t>
            </w:r>
          </w:p>
        </w:tc>
        <w:tc>
          <w:tcPr>
            <w:tcW w:type="dxa" w:w="2556"/>
          </w:tcPr>
          <w:p>
            <w:r>
              <w:t>Align reads to marker sequences for taxonomic profiling.</w:t>
            </w:r>
          </w:p>
        </w:tc>
      </w:tr>
      <w:tr>
        <w:tc>
          <w:tcPr>
            <w:tcW w:type="dxa" w:w="2556"/>
          </w:tcPr>
          <w:p>
            <w:r>
              <w:t>HUMAnN nucleotide search</w:t>
            </w:r>
          </w:p>
        </w:tc>
        <w:tc>
          <w:tcPr>
            <w:tcW w:type="dxa" w:w="2556"/>
          </w:tcPr>
          <w:p>
            <w:r>
              <w:t>Bowtie2</w:t>
            </w:r>
          </w:p>
        </w:tc>
        <w:tc>
          <w:tcPr>
            <w:tcW w:type="dxa" w:w="2556"/>
          </w:tcPr>
          <w:p>
            <w:r>
              <w:t>ChocoPhlAn</w:t>
            </w:r>
          </w:p>
        </w:tc>
        <w:tc>
          <w:tcPr>
            <w:tcW w:type="dxa" w:w="2556"/>
          </w:tcPr>
          <w:p>
            <w:r>
              <w:t>Align DNA reads to reference microbial genes.</w:t>
            </w:r>
          </w:p>
        </w:tc>
      </w:tr>
      <w:tr>
        <w:tc>
          <w:tcPr>
            <w:tcW w:type="dxa" w:w="2556"/>
          </w:tcPr>
          <w:p>
            <w:r>
              <w:t>HUMAnN translated search</w:t>
            </w:r>
          </w:p>
        </w:tc>
        <w:tc>
          <w:tcPr>
            <w:tcW w:type="dxa" w:w="2556"/>
          </w:tcPr>
          <w:p>
            <w:r>
              <w:t>DIAMOND</w:t>
            </w:r>
          </w:p>
        </w:tc>
        <w:tc>
          <w:tcPr>
            <w:tcW w:type="dxa" w:w="2556"/>
          </w:tcPr>
          <w:p>
            <w:r>
              <w:t>UniRef90</w:t>
            </w:r>
          </w:p>
        </w:tc>
        <w:tc>
          <w:tcPr>
            <w:tcW w:type="dxa" w:w="2556"/>
          </w:tcPr>
          <w:p>
            <w:r>
              <w:t>Search translated nucleotide reads against protein sequences to identify gene families.</w:t>
            </w:r>
          </w:p>
        </w:tc>
      </w:tr>
      <w:tr>
        <w:tc>
          <w:tcPr>
            <w:tcW w:type="dxa" w:w="2556"/>
          </w:tcPr>
          <w:p>
            <w:r>
              <w:t>Functional mapping</w:t>
            </w:r>
          </w:p>
        </w:tc>
        <w:tc>
          <w:tcPr>
            <w:tcW w:type="dxa" w:w="2556"/>
          </w:tcPr>
          <w:p>
            <w:r>
              <w:t>Mapping/database</w:t>
            </w:r>
          </w:p>
        </w:tc>
        <w:tc>
          <w:tcPr>
            <w:tcW w:type="dxa" w:w="2556"/>
          </w:tcPr>
          <w:p>
            <w:r>
              <w:t>Utility Mapping</w:t>
            </w:r>
          </w:p>
        </w:tc>
        <w:tc>
          <w:tcPr>
            <w:tcW w:type="dxa" w:w="2556"/>
          </w:tcPr>
          <w:p>
            <w:r>
              <w:t>Connect gene families to functional annotations and pathways.</w:t>
            </w:r>
          </w:p>
        </w:tc>
      </w:tr>
      <w:tr>
        <w:tc>
          <w:tcPr>
            <w:tcW w:type="dxa" w:w="2556"/>
          </w:tcPr>
          <w:p>
            <w:r>
              <w:t>Pathway reconstruction</w:t>
            </w:r>
          </w:p>
        </w:tc>
        <w:tc>
          <w:tcPr>
            <w:tcW w:type="dxa" w:w="2556"/>
          </w:tcPr>
          <w:p>
            <w:r>
              <w:t>MinPath</w:t>
            </w:r>
          </w:p>
        </w:tc>
        <w:tc>
          <w:tcPr>
            <w:tcW w:type="dxa" w:w="2556"/>
          </w:tcPr>
          <w:p>
            <w:r>
              <w:t>Pathway definitions</w:t>
            </w:r>
          </w:p>
        </w:tc>
        <w:tc>
          <w:tcPr>
            <w:tcW w:type="dxa" w:w="2556"/>
          </w:tcPr>
          <w:p>
            <w:r>
              <w:t>Infer likely metabolic pathways from detected functions.</w:t>
            </w:r>
          </w:p>
        </w:tc>
      </w:tr>
    </w:tbl>
    <w:p>
      <w:pPr>
        <w:pStyle w:val="Heading2"/>
      </w:pPr>
      <w:r>
        <w:t>6.2 HUMAnN databases</w:t>
      </w:r>
    </w:p>
    <w:p>
      <w:pPr>
        <w:pStyle w:val="CodeBlock"/>
        <w:spacing w:before="60" w:after="120"/>
        <w:ind w:left="288"/>
      </w:pPr>
      <w:r>
        <w:t>mkdir -p ~/Metagenomics_Analysis/databases/humann/chocophlan</w:t>
        <w:br/>
        <w:t>humann_databases \</w:t>
        <w:br/>
        <w:t>--download chocophlan full \</w:t>
        <w:br/>
        <w:t>~/Metagenomics_Analysis/databases/humann/chocophlan</w:t>
        <w:br/>
        <w:br/>
        <w:t>mkdir -p ~/Metagenomics_Analysis/databases/humann/uniref90</w:t>
        <w:br/>
        <w:t>humann_databases \</w:t>
        <w:br/>
        <w:t>--download uniref uniref90_diamond \</w:t>
        <w:br/>
        <w:t>~/Metagenomics_Analysis/databases/humann/uniref90</w:t>
        <w:br/>
        <w:br/>
        <w:t>mkdir -p ~/Metagenomics_Analysis/databases/humann/utility_mapping</w:t>
        <w:br/>
        <w:t>humann_databases \</w:t>
        <w:br/>
        <w:t>--download utility_mapping full \</w:t>
        <w:br/>
        <w:t>~/Metagenomics_Analysis/databases/humann/utility_mapping</w:t>
      </w:r>
    </w:p>
    <w:p>
      <w:r>
        <w:rPr>
          <w:b/>
        </w:rPr>
        <w:t xml:space="preserve">Important: </w:t>
      </w:r>
      <w:r>
        <w:t>These three HUMAnN databases have different jobs. ChocoPhlAn is the nucleotide reference used by the Bowtie2 search; UniRef90 is the protein reference used by DIAMOND; Utility Mapping connects gene-family identifiers to functional/pathway information.</w:t>
      </w:r>
    </w:p>
    <w:p>
      <w:pPr>
        <w:pStyle w:val="Heading2"/>
      </w:pPr>
      <w:r>
        <w:t>6.3 Configure HUMAnN</w:t>
      </w:r>
    </w:p>
    <w:p>
      <w:pPr>
        <w:pStyle w:val="CodeBlock"/>
        <w:spacing w:before="60" w:after="120"/>
        <w:ind w:left="288"/>
      </w:pPr>
      <w:r>
        <w:t>humann_config --update database_folders nucleotide \</w:t>
        <w:br/>
        <w:t>/home/turtle/Metagenomics_Analysis/databases/humann/chocophlan/chocophlan</w:t>
        <w:br/>
        <w:br/>
        <w:t>humann_config --update database_folders protein \</w:t>
        <w:br/>
        <w:t>/home/turtle/Metagenomics_Analysis/databases/humann/uniref90/uniref</w:t>
        <w:br/>
        <w:br/>
        <w:t>humann_config --update database_folders utility_mapping \</w:t>
        <w:br/>
        <w:t>/home/turtle/Metagenomics_Analysis/databases/humann/utility_mapping/utility_mapping</w:t>
        <w:br/>
        <w:br/>
        <w:t>humann_config --print</w:t>
      </w:r>
    </w:p>
    <w:p>
      <w:r>
        <w:rPr>
          <w:b/>
        </w:rPr>
        <w:t xml:space="preserve">Why humann_config --print? </w:t>
      </w:r>
      <w:r>
        <w:t>It is a verification step. It confirms that HUMAnN is pointing to the intended full databases rather than the small DEMO databases bundled with the package.</w:t>
      </w:r>
    </w:p>
    <w:p>
      <w:pPr>
        <w:pStyle w:val="Heading2"/>
      </w:pPr>
      <w:r>
        <w:t>6.4 Prepare HUMAnN input</w:t>
      </w:r>
    </w:p>
    <w:p>
      <w:pPr>
        <w:pStyle w:val="CodeBlock"/>
        <w:spacing w:before="60" w:after="120"/>
        <w:ind w:left="288"/>
      </w:pPr>
      <w:r>
        <w:t>mkdir -p 01_raw_data/humann_input</w:t>
        <w:br/>
        <w:br/>
        <w:t>cat \</w:t>
        <w:br/>
        <w:t>01_raw_data/SRR33005305_1.fastq.gz \</w:t>
        <w:br/>
        <w:t>01_raw_data/SRR33005305_2.fastq.gz \</w:t>
        <w:br/>
        <w:t>&gt; 01_raw_data/humann_input/SRR33005305_combined.fastq.gz</w:t>
        <w:br/>
        <w:br/>
        <w:t>zcat 01_raw_data/humann_input/SRR33005305_combined.fastq.gz | head -8</w:t>
        <w:br/>
        <w:t>zcat 01_raw_data/humann_input/SRR33005305_combined.fastq.gz | wc -l</w:t>
      </w:r>
    </w:p>
    <w:p>
      <w:r>
        <w:rPr>
          <w:b/>
        </w:rPr>
        <w:t xml:space="preserve">Why concatenate? </w:t>
      </w:r>
      <w:r>
        <w:t>HUMAnN 3.9 uses a single input stream in this workflow. The paired files were concatenated so HUMAnN could process the complete read set. Kraken2 and MetaPhlAn were run directly with the paired reads.</w:t>
      </w:r>
    </w:p>
    <w:p>
      <w:pPr>
        <w:pStyle w:val="Heading2"/>
      </w:pPr>
      <w:r>
        <w:t>6.5 Successful HUMAnN command</w:t>
      </w:r>
    </w:p>
    <w:p>
      <w:pPr>
        <w:pStyle w:val="CodeBlock"/>
        <w:spacing w:before="60" w:after="120"/>
        <w:ind w:left="288"/>
      </w:pPr>
      <w:r>
        <w:t>mkdir -p 09_functional/humann</w:t>
        <w:br/>
        <w:br/>
        <w:t>humann \</w:t>
        <w:br/>
        <w:t>-i 01_raw_data/humann_input/SRR33005305_combined.fastq.gz \</w:t>
        <w:br/>
        <w:t>-o 09_functional/humann \</w:t>
        <w:br/>
        <w:t>--threads 20 \</w:t>
        <w:br/>
        <w:t>--search-mode uniref90 \</w:t>
        <w:br/>
        <w:t>--output-basename SRR33005305 \</w:t>
        <w:br/>
        <w:t>--metaphlan-options "--bowtie2db /home/turtle/Metagenomics_Analysis/databases/metaphlan/vJun23 --index mpa_vJun23_CHOCOPhlAnSGB_202403" \</w:t>
        <w:br/>
        <w:t>-v</w:t>
      </w:r>
    </w:p>
    <w:p>
      <w:r>
        <w:rPr>
          <w:b/>
        </w:rPr>
        <w:t xml:space="preserve">Why this version of the command? </w:t>
      </w:r>
      <w:r>
        <w:t>The explicit --metaphlan-options forces HUMAnN to use the compatible vJun23 MetaPhlAn database. This avoided the earlier database-version mismatch and produced the successful SRR33005305 functional profile.</w:t>
      </w:r>
    </w:p>
    <w:p>
      <w:pPr>
        <w:pStyle w:val="Heading1"/>
      </w:pPr>
      <w:r>
        <w:t>7. HUMAnN outputs and interpretation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F0D9"/>
          </w:tcPr>
          <w:p>
            <w:r>
              <w:t>Output file</w:t>
            </w:r>
          </w:p>
        </w:tc>
        <w:tc>
          <w:tcPr>
            <w:tcW w:type="dxa" w:w="3408"/>
            <w:shd w:fill="E2F0D9"/>
          </w:tcPr>
          <w:p>
            <w:r>
              <w:t>Main information</w:t>
            </w:r>
          </w:p>
        </w:tc>
        <w:tc>
          <w:tcPr>
            <w:tcW w:type="dxa" w:w="3408"/>
            <w:shd w:fill="E2F0D9"/>
          </w:tcPr>
          <w:p>
            <w:r>
              <w:t>Typical use</w:t>
            </w:r>
          </w:p>
        </w:tc>
      </w:tr>
      <w:tr>
        <w:tc>
          <w:tcPr>
            <w:tcW w:type="dxa" w:w="3408"/>
          </w:tcPr>
          <w:p>
            <w:r>
              <w:t>genefamilies.tsv</w:t>
            </w:r>
          </w:p>
        </w:tc>
        <w:tc>
          <w:tcPr>
            <w:tcW w:type="dxa" w:w="3408"/>
          </w:tcPr>
          <w:p>
            <w:r>
              <w:t>Gene-family abundance; includes unstratified and organism-stratified entries.</w:t>
            </w:r>
          </w:p>
        </w:tc>
        <w:tc>
          <w:tcPr>
            <w:tcW w:type="dxa" w:w="3408"/>
          </w:tcPr>
          <w:p>
            <w:r>
              <w:t>Functional feature matrix; downstream functional comparison.</w:t>
            </w:r>
          </w:p>
        </w:tc>
      </w:tr>
      <w:tr>
        <w:tc>
          <w:tcPr>
            <w:tcW w:type="dxa" w:w="3408"/>
          </w:tcPr>
          <w:p>
            <w:r>
              <w:t>pathabundance.tsv</w:t>
            </w:r>
          </w:p>
        </w:tc>
        <w:tc>
          <w:tcPr>
            <w:tcW w:type="dxa" w:w="3408"/>
          </w:tcPr>
          <w:p>
            <w:r>
              <w:t>Estimated abundance of reconstructed pathways.</w:t>
            </w:r>
          </w:p>
        </w:tc>
        <w:tc>
          <w:tcPr>
            <w:tcW w:type="dxa" w:w="3408"/>
          </w:tcPr>
          <w:p>
            <w:r>
              <w:t>Compare metabolic pathway abundance among samples.</w:t>
            </w:r>
          </w:p>
        </w:tc>
      </w:tr>
      <w:tr>
        <w:tc>
          <w:tcPr>
            <w:tcW w:type="dxa" w:w="3408"/>
          </w:tcPr>
          <w:p>
            <w:r>
              <w:t>pathcoverage.tsv</w:t>
            </w:r>
          </w:p>
        </w:tc>
        <w:tc>
          <w:tcPr>
            <w:tcW w:type="dxa" w:w="3408"/>
          </w:tcPr>
          <w:p>
            <w:r>
              <w:t>Fraction/completeness of pathway components detected.</w:t>
            </w:r>
          </w:p>
        </w:tc>
        <w:tc>
          <w:tcPr>
            <w:tcW w:type="dxa" w:w="3408"/>
          </w:tcPr>
          <w:p>
            <w:r>
              <w:t>Assess whether a pathway is sufficiently represented.</w:t>
            </w:r>
          </w:p>
        </w:tc>
      </w:tr>
    </w:tbl>
    <w:p>
      <w:pPr>
        <w:pStyle w:val="Heading2"/>
      </w:pPr>
      <w:r>
        <w:t>7.1 SRR33005305: observed output</w:t>
      </w:r>
    </w:p>
    <w:p>
      <w:r>
        <w:rPr>
          <w:b/>
        </w:rPr>
        <w:t xml:space="preserve">Gene families: </w:t>
      </w:r>
      <w:r>
        <w:t>108,186 rows were present in the raw HUMAnN gene-family table. The table contains both overall UniRef90 entries and stratified entries such as gene-family|g__Bacteroides.s__Bacteroides_thetaiotaomicron.</w:t>
      </w:r>
    </w:p>
    <w:p>
      <w:r>
        <w:rPr>
          <w:b/>
        </w:rPr>
        <w:t xml:space="preserve">Pathways: </w:t>
      </w:r>
      <w:r>
        <w:t>783 rows were present in both pathway-abundance and pathway-coverage tables. These rows include actual pathways plus special categories such as UNMAPPED and UNINTEGRATED and organism-stratified pathway entries.</w:t>
      </w:r>
    </w:p>
    <w:p>
      <w:r>
        <w:rPr>
          <w:b/>
        </w:rPr>
        <w:t xml:space="preserve">UNMAPPED: </w:t>
      </w:r>
      <w:r>
        <w:t>Reads/functions that HUMAnN could not assign at the relevant stage. It is not a biological pathway.</w:t>
      </w:r>
    </w:p>
    <w:p>
      <w:r>
        <w:rPr>
          <w:b/>
        </w:rPr>
        <w:t xml:space="preserve">UNINTEGRATED: </w:t>
      </w:r>
      <w:r>
        <w:t>Gene-family abundance that could not be integrated into a complete known pathway. It is a HUMAnN category, not itself a metabolic pathway.</w:t>
      </w:r>
    </w:p>
    <w:p>
      <w:r>
        <w:rPr>
          <w:b/>
        </w:rPr>
        <w:t xml:space="preserve">RPKs: </w:t>
      </w:r>
      <w:r>
        <w:t>The gene-family abundance column in this run is reported as RPKs. It should not be interpreted directly as relative abundance without appropriate downstream normalization/processing.</w:t>
      </w:r>
    </w:p>
    <w:p>
      <w:pPr>
        <w:pStyle w:val="Heading1"/>
      </w:pPr>
      <w:r>
        <w:t>8. Recommended multi-sample workflow</w:t>
      </w:r>
    </w:p>
    <w:p>
      <w:r>
        <w:t>Once every sample has been processed, do not immediately compare raw TSV rows. First build consistent sample-by-feature matrices.</w:t>
      </w:r>
    </w:p>
    <w:p>
      <w:pPr>
        <w:pStyle w:val="ListNumber"/>
      </w:pPr>
      <w:r>
        <w:t>Run Kraken2 and Bracken for every sample using the same database and documented Bracken settings.</w:t>
      </w:r>
    </w:p>
    <w:p>
      <w:pPr>
        <w:pStyle w:val="ListNumber"/>
      </w:pPr>
      <w:r>
        <w:t>Run MetaPhlAn for every sample using the same MetaPhlAn database/index.</w:t>
      </w:r>
    </w:p>
    <w:p>
      <w:pPr>
        <w:pStyle w:val="ListNumber"/>
      </w:pPr>
      <w:r>
        <w:t>Run HUMAnN for every sample using the same HUMAnN database versions and configuration.</w:t>
      </w:r>
    </w:p>
    <w:p>
      <w:pPr>
        <w:pStyle w:val="ListNumber"/>
      </w:pPr>
      <w:r>
        <w:t>Join/merge HUMAnN gene-family tables across samples.</w:t>
      </w:r>
    </w:p>
    <w:p>
      <w:pPr>
        <w:pStyle w:val="ListNumber"/>
      </w:pPr>
      <w:r>
        <w:t>Join/merge HUMAnN pathway-abundance tables across samples.</w:t>
      </w:r>
    </w:p>
    <w:p>
      <w:pPr>
        <w:pStyle w:val="ListNumber"/>
      </w:pPr>
      <w:r>
        <w:t>Keep pathway coverage as a separate matrix.</w:t>
      </w:r>
    </w:p>
    <w:p>
      <w:pPr>
        <w:pStyle w:val="ListNumber"/>
      </w:pPr>
      <w:r>
        <w:t>Remove or separately report UNMAPPED, UNINTEGRATED, and stratified rows as appropriate for the analysis.</w:t>
      </w:r>
    </w:p>
    <w:p>
      <w:pPr>
        <w:pStyle w:val="ListNumber"/>
      </w:pPr>
      <w:r>
        <w:t>Normalize/transform the appropriate feature matrix before statistical comparison.</w:t>
      </w:r>
    </w:p>
    <w:p>
      <w:pPr>
        <w:pStyle w:val="ListNumber"/>
      </w:pPr>
      <w:r>
        <w:t>Perform community composition, differential abundance, pathway analysis, and visualization in R/Python.</w:t>
      </w:r>
    </w:p>
    <w:p>
      <w:pPr>
        <w:pStyle w:val="Heading1"/>
      </w:pPr>
      <w:r>
        <w:t>9. What should NOT be done</w:t>
      </w:r>
    </w:p>
    <w:p>
      <w:pPr>
        <w:pStyle w:val="ListBullet"/>
      </w:pPr>
      <w:r>
        <w:t>Do not mix MetaPhlAn database versions between samples.</w:t>
      </w:r>
    </w:p>
    <w:p>
      <w:pPr>
        <w:pStyle w:val="ListBullet"/>
      </w:pPr>
      <w:r>
        <w:t>Do not compare HUMAnN outputs generated with different reference database versions without documenting the difference.</w:t>
      </w:r>
    </w:p>
    <w:p>
      <w:pPr>
        <w:pStyle w:val="ListBullet"/>
      </w:pPr>
      <w:r>
        <w:t>Do not count stratified and unstratified HUMAnN rows as independent pathways.</w:t>
      </w:r>
    </w:p>
    <w:p>
      <w:pPr>
        <w:pStyle w:val="ListBullet"/>
      </w:pPr>
      <w:r>
        <w:t>Do not interpret UNMAPPED or UNINTEGRATED as biological pathways.</w:t>
      </w:r>
    </w:p>
    <w:p>
      <w:pPr>
        <w:pStyle w:val="ListBullet"/>
      </w:pPr>
      <w:r>
        <w:t>Do not assume Bracken -r 200 is correct unless the Bracken database was built for that read length.</w:t>
      </w:r>
    </w:p>
    <w:p>
      <w:pPr>
        <w:pStyle w:val="ListBullet"/>
      </w:pPr>
      <w:r>
        <w:t>Do not normalize a single sample and then call it a multi-sample abundance analysis; normalization/comparison is most useful after the sample matrix has been constructed.</w:t>
      </w:r>
    </w:p>
    <w:p>
      <w:pPr>
        <w:pStyle w:val="Heading1"/>
      </w:pPr>
      <w:r>
        <w:t>10. Reproducibility checklist</w:t>
      </w:r>
    </w:p>
    <w:p>
      <w:r>
        <w:t>☐ Record sample/accession IDs and metadata.</w:t>
      </w:r>
    </w:p>
    <w:p>
      <w:r>
        <w:t>☐ Record tool versions: Kraken2, Bracken, MetaPhlAn, HUMAnN, Bowtie2, DIAMOND.</w:t>
      </w:r>
    </w:p>
    <w:p>
      <w:r>
        <w:t>☐ Record database names/builds and download dates.</w:t>
      </w:r>
    </w:p>
    <w:p>
      <w:r>
        <w:t>☐ Keep the exact commands used for each sample.</w:t>
      </w:r>
    </w:p>
    <w:p>
      <w:r>
        <w:t>☐ Record CPU threads and major parameters.</w:t>
      </w:r>
    </w:p>
    <w:p>
      <w:r>
        <w:t>☐ Keep raw reports and final TSV outputs unchanged.</w:t>
      </w:r>
    </w:p>
    <w:p>
      <w:r>
        <w:t>☐ Use consistent output directory names.</w:t>
      </w:r>
    </w:p>
    <w:p>
      <w:r>
        <w:t>☐ Record any deviations or troubleshooting steps.</w:t>
      </w:r>
    </w:p>
    <w:p>
      <w:pPr>
        <w:pStyle w:val="Heading1"/>
      </w:pPr>
      <w:r>
        <w:t>11. Quick conceptual summary</w:t>
      </w:r>
    </w:p>
    <w:p>
      <w:r>
        <w:t>The easiest way to remember the workflow is:</w:t>
      </w:r>
    </w:p>
    <w:p>
      <w:pPr>
        <w:jc w:val="center"/>
      </w:pPr>
      <w:r>
        <w:rPr>
          <w:b/>
        </w:rPr>
        <w:t>Kraken2/Bracken = broad taxonomy  |  MetaPhlAn = marker-based taxonomy  |  HUMAnN = function</w:t>
      </w:r>
    </w:p>
    <w:p>
      <w:pPr>
        <w:jc w:val="center"/>
      </w:pPr>
      <w:r>
        <w:rPr>
          <w:i/>
        </w:rPr>
        <w:t>Bowtie2 = nucleotide aligner  |  ChocoPhlAn = nucleotide reference  |  DIAMOND = translated/protein aligner  |  UniRef90 = protein reference</w:t>
      </w:r>
    </w:p>
    <w:p>
      <w:pPr>
        <w:jc w:val="center"/>
      </w:pPr>
      <w:r>
        <w:rPr>
          <w:b/>
        </w:rPr>
        <w:t>Utility Mapping + MinPath → functional annotations and metabolic pathways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