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C83A6" w14:textId="77777777" w:rsidR="007D72C2" w:rsidRPr="00A537D1" w:rsidRDefault="00A537D1">
      <w:pPr>
        <w:pStyle w:val="Title"/>
        <w:spacing w:after="40"/>
        <w:jc w:val="center"/>
        <w:rPr>
          <w:rFonts w:ascii="Arial" w:hAnsi="Arial" w:cs="Arial"/>
          <w:color w:val="000000" w:themeColor="text1"/>
        </w:rPr>
      </w:pPr>
      <w:r w:rsidRPr="00A537D1">
        <w:rPr>
          <w:rFonts w:ascii="Arial" w:hAnsi="Arial" w:cs="Arial"/>
          <w:color w:val="000000" w:themeColor="text1"/>
          <w:sz w:val="32"/>
        </w:rPr>
        <w:t>Business Summary Report: Predictive Insights for Collections Strategy</w:t>
      </w:r>
    </w:p>
    <w:p w14:paraId="40BE55F5" w14:textId="77777777" w:rsidR="007D72C2" w:rsidRPr="00A537D1" w:rsidRDefault="00A537D1">
      <w:pPr>
        <w:spacing w:after="40" w:before="0"/>
        <w:rPr>
          <w:rFonts w:ascii="Arial" w:hAnsi="Arial" w:cs="Arial"/>
          <w:color w:val="000000" w:themeColor="text1"/>
        </w:rPr>
      </w:pPr>
      <w:r>
        <w:rPr>
          <w:b w:val="0"/>
          <w:sz w:val="18"/>
        </w:rPr>
        <w:t>Prepared by Tata iQ for the Head of Collections, Geldium Finance | Based on 500 customer records (16% delinquent)</w:t>
      </w:r>
    </w:p>
    <w:p w14:paraId="2F4337BF" w14:textId="77777777" w:rsidR="007D72C2" w:rsidRPr="00A537D1" w:rsidRDefault="00A537D1">
      <w:pPr>
        <w:pStyle w:val="Heading1"/>
        <w:spacing w:before="120" w:after="40"/>
        <w:rPr>
          <w:rFonts w:ascii="Arial" w:hAnsi="Arial" w:cs="Arial"/>
          <w:color w:val="000000" w:themeColor="text1"/>
        </w:rPr>
      </w:pPr>
      <w:r w:rsidRPr="00A537D1">
        <w:rPr>
          <w:rFonts w:ascii="Arial" w:hAnsi="Arial" w:cs="Arial"/>
          <w:color w:val="000000" w:themeColor="text1"/>
        </w:rPr>
        <w:t>1. Summary of Predictive Insights</w:t>
      </w:r>
    </w:p>
    <w:p w14:paraId="40BE55F5" w14:textId="77777777" w:rsidR="007D72C2" w:rsidRPr="00A537D1" w:rsidRDefault="00A537D1">
      <w:pPr>
        <w:spacing w:after="40" w:before="0"/>
        <w:rPr>
          <w:rFonts w:ascii="Arial" w:hAnsi="Arial" w:cs="Arial"/>
          <w:color w:val="000000" w:themeColor="text1"/>
        </w:rPr>
      </w:pPr>
      <w:r>
        <w:rPr>
          <w:b w:val="0"/>
          <w:sz w:val="19"/>
        </w:rPr>
        <w:t xml:space="preserve">Our EDA and predictive framework (logistic regression, Task 2) point to a few early risk signals. </w:t>
      </w:r>
      <w:r>
        <w:rPr>
          <w:b/>
          <w:sz w:val="19"/>
        </w:rPr>
        <w:t xml:space="preserve">Important: </w:t>
      </w:r>
      <w:r>
        <w:rPr>
          <w:b w:val="0"/>
          <w:sz w:val="19"/>
        </w:rPr>
        <w:t>the quick baseline model showed limited predictive power (AUC about 0.5) and none of the differences below is statistically significant yet, so treat them as indicators to test, not proven drivers.</w:t>
      </w:r>
    </w:p>
    <w:p w14:paraId="40BE55F5" w14:textId="77777777" w:rsidR="007D72C2" w:rsidRPr="00A537D1" w:rsidRDefault="00A537D1">
      <w:pPr>
        <w:spacing w:after="40" w:before="0"/>
        <w:rPr>
          <w:rFonts w:ascii="Arial" w:hAnsi="Arial" w:cs="Arial"/>
          <w:color w:val="000000" w:themeColor="text1"/>
        </w:rPr>
      </w:pPr>
      <w:r>
        <w:rPr>
          <w:b/>
          <w:sz w:val="19"/>
        </w:rPr>
        <w:t>Top 3 Risk Factors</w:t>
      </w:r>
    </w:p>
    <w:p w14:paraId="6CE07FC9" w14:textId="77777777" w:rsidR="007D72C2" w:rsidRPr="00A537D1" w:rsidRDefault="00A537D1">
      <w:pPr>
        <w:pStyle w:val="ListBullet"/>
        <w:spacing w:after="40" w:before="0"/>
        <w:rPr>
          <w:rFonts w:ascii="Arial" w:hAnsi="Arial" w:cs="Arial"/>
          <w:color w:val="000000" w:themeColor="text1"/>
        </w:rPr>
      </w:pPr>
      <w:r>
        <w:rPr>
          <w:b/>
          <w:sz w:val="19"/>
        </w:rPr>
        <w:t xml:space="preserve">Employment instability: </w:t>
      </w:r>
      <w:r>
        <w:rPr>
          <w:b w:val="0"/>
          <w:sz w:val="19"/>
        </w:rPr>
        <w:t>Unemployed customers are 19.4% delinquent vs 15.2% for others.</w:t>
      </w:r>
    </w:p>
    <w:p w14:paraId="6CE07FC9" w14:textId="77777777" w:rsidR="007D72C2" w:rsidRPr="00A537D1" w:rsidRDefault="00A537D1">
      <w:pPr>
        <w:pStyle w:val="ListBullet"/>
        <w:spacing w:after="40" w:before="0"/>
        <w:rPr>
          <w:rFonts w:ascii="Arial" w:hAnsi="Arial" w:cs="Arial"/>
          <w:color w:val="000000" w:themeColor="text1"/>
        </w:rPr>
      </w:pPr>
      <w:r>
        <w:rPr>
          <w:b/>
          <w:sz w:val="19"/>
        </w:rPr>
        <w:t xml:space="preserve">Business credit card holders: </w:t>
      </w:r>
      <w:r>
        <w:rPr>
          <w:b w:val="0"/>
          <w:sz w:val="19"/>
        </w:rPr>
        <w:t>21.3% delinquent vs 14.5% for other cards.</w:t>
      </w:r>
    </w:p>
    <w:p w14:paraId="6CE07FC9" w14:textId="77777777" w:rsidR="007D72C2" w:rsidRPr="00A537D1" w:rsidRDefault="00A537D1">
      <w:pPr>
        <w:pStyle w:val="ListBullet"/>
        <w:spacing w:after="40" w:before="0"/>
        <w:rPr>
          <w:rFonts w:ascii="Arial" w:hAnsi="Arial" w:cs="Arial"/>
          <w:color w:val="000000" w:themeColor="text1"/>
        </w:rPr>
      </w:pPr>
      <w:r>
        <w:rPr>
          <w:b/>
          <w:sz w:val="19"/>
        </w:rPr>
        <w:t xml:space="preserve">Higher credit utilization: </w:t>
      </w:r>
      <w:r>
        <w:rPr>
          <w:b w:val="0"/>
          <w:sz w:val="19"/>
        </w:rPr>
        <w:t>customers using under 30% of their limit are 12.0% delinquent vs 16.8% above 30%.</w:t>
      </w:r>
    </w:p>
    <w:p w14:paraId="60F471FE" w14:textId="77777777" w:rsidR="007D72C2" w:rsidRDefault="00A537D1">
      <w:pPr>
        <w:spacing w:after="40" w:before="0"/>
        <w:rPr>
          <w:rFonts w:ascii="Arial" w:hAnsi="Arial" w:cs="Arial"/>
          <w:color w:val="000000" w:themeColor="text1"/>
        </w:rPr>
      </w:pPr>
      <w:r>
        <w:rPr>
          <w:b/>
          <w:sz w:val="19"/>
        </w:rPr>
        <w:t>Key Insights Summary</w:t>
      </w:r>
    </w:p>
    <w:tbl>
      <w:tblPr>
        <w:tblW w:w="5000" w:type="pct"/>
        <w:tblCellMar>
          <w:left w:w="30" w:type="dxa"/>
          <w:right w:w="30" w:type="dxa"/>
        </w:tblCellMar>
        <w:tblLook w:val="0000" w:firstRow="0" w:lastRow="0" w:firstColumn="0" w:lastColumn="0" w:noHBand="0" w:noVBand="0"/>
      </w:tblPr>
      <w:tblGrid>
        <w:gridCol w:w="1113"/>
        <w:gridCol w:w="1488"/>
        <w:gridCol w:w="3882"/>
        <w:gridCol w:w="2217"/>
      </w:tblGrid>
      <w:tr w:rsidR="00A537D1" w:rsidRPr="00A537D1" w14:paraId="36311A05" w14:textId="77777777" w:rsidTr="00A537D1">
        <w:tblPrEx>
          <w:tblCellMar>
            <w:top w:w="0" w:type="dxa"/>
            <w:bottom w:w="0" w:type="dxa"/>
          </w:tblCellMar>
        </w:tblPrEx>
        <w:trPr>
          <w:trHeight w:val="332"/>
        </w:trPr>
        <w:tc>
          <w:tcPr>
            <w:tcW w:w="640" w:type="pct"/>
            <w:tcBorders>
              <w:top w:val="single" w:sz="6" w:space="0" w:color="auto"/>
              <w:left w:val="single" w:sz="6" w:space="0" w:color="auto"/>
              <w:bottom w:val="single" w:sz="6" w:space="0" w:color="auto"/>
              <w:right w:val="single" w:sz="6" w:space="0" w:color="auto"/>
            </w:tcBorders>
          </w:tcPr>
          <w:p w14:paraId="0CD6A7EA" w14:textId="77777777" w:rsidR="00A537D1" w:rsidRPr="00A537D1" w:rsidRDefault="00A537D1" w:rsidP="00A537D1">
            <w:pPr>
              <w:spacing w:after="0"/>
              <w:rPr>
                <w:rFonts w:ascii="Arial" w:hAnsi="Arial" w:cs="Arial"/>
                <w:color w:val="000000" w:themeColor="text1"/>
                <w:sz w:val="20"/>
                <w:szCs w:val="20"/>
                <w:lang w:val="en-GB"/>
              </w:rPr>
            </w:pPr>
            <w:r w:rsidRPr="00A537D1">
              <w:rPr>
                <w:rFonts w:ascii="Arial" w:hAnsi="Arial" w:cs="Arial"/>
                <w:color w:val="000000" w:themeColor="text1"/>
                <w:sz w:val="17"/>
                <w:szCs w:val="20"/>
                <w:lang w:val="en-GB"/>
              </w:rPr>
              <w:t>Key Insight</w:t>
            </w:r>
          </w:p>
        </w:tc>
        <w:tc>
          <w:tcPr>
            <w:tcW w:w="855" w:type="pct"/>
            <w:tcBorders>
              <w:top w:val="single" w:sz="6" w:space="0" w:color="auto"/>
              <w:left w:val="single" w:sz="6" w:space="0" w:color="auto"/>
              <w:bottom w:val="single" w:sz="6" w:space="0" w:color="auto"/>
              <w:right w:val="single" w:sz="6" w:space="0" w:color="auto"/>
            </w:tcBorders>
          </w:tcPr>
          <w:p w14:paraId="21F469F1" w14:textId="77777777" w:rsidR="00A537D1" w:rsidRPr="00A537D1" w:rsidRDefault="00A537D1" w:rsidP="00A537D1">
            <w:pPr>
              <w:spacing w:after="0"/>
              <w:rPr>
                <w:rFonts w:ascii="Arial" w:hAnsi="Arial" w:cs="Arial"/>
                <w:color w:val="000000" w:themeColor="text1"/>
                <w:sz w:val="20"/>
                <w:szCs w:val="20"/>
                <w:lang w:val="en-GB"/>
              </w:rPr>
            </w:pPr>
            <w:r w:rsidRPr="00A537D1">
              <w:rPr>
                <w:rFonts w:ascii="Arial" w:hAnsi="Arial" w:cs="Arial"/>
                <w:color w:val="000000" w:themeColor="text1"/>
                <w:sz w:val="17"/>
                <w:szCs w:val="20"/>
                <w:lang w:val="en-GB"/>
              </w:rPr>
              <w:t>Customer Segment</w:t>
            </w:r>
          </w:p>
        </w:tc>
        <w:tc>
          <w:tcPr>
            <w:tcW w:w="2231" w:type="pct"/>
            <w:tcBorders>
              <w:top w:val="single" w:sz="6" w:space="0" w:color="auto"/>
              <w:left w:val="single" w:sz="6" w:space="0" w:color="auto"/>
              <w:bottom w:val="single" w:sz="6" w:space="0" w:color="auto"/>
              <w:right w:val="single" w:sz="6" w:space="0" w:color="auto"/>
            </w:tcBorders>
          </w:tcPr>
          <w:p w14:paraId="3891034A" w14:textId="77777777" w:rsidR="00A537D1" w:rsidRPr="00A537D1" w:rsidRDefault="00A537D1" w:rsidP="00A537D1">
            <w:pPr>
              <w:spacing w:after="0"/>
              <w:rPr>
                <w:rFonts w:ascii="Arial" w:hAnsi="Arial" w:cs="Arial"/>
                <w:color w:val="000000" w:themeColor="text1"/>
                <w:sz w:val="20"/>
                <w:szCs w:val="20"/>
                <w:lang w:val="en-GB"/>
              </w:rPr>
            </w:pPr>
            <w:r w:rsidRPr="00A537D1">
              <w:rPr>
                <w:rFonts w:ascii="Arial" w:hAnsi="Arial" w:cs="Arial"/>
                <w:color w:val="000000" w:themeColor="text1"/>
                <w:sz w:val="17"/>
                <w:szCs w:val="20"/>
                <w:lang w:val="en-GB"/>
              </w:rPr>
              <w:t>Influencing Variables</w:t>
            </w:r>
          </w:p>
        </w:tc>
        <w:tc>
          <w:tcPr>
            <w:tcW w:w="1274" w:type="pct"/>
            <w:tcBorders>
              <w:top w:val="single" w:sz="6" w:space="0" w:color="auto"/>
              <w:left w:val="single" w:sz="6" w:space="0" w:color="auto"/>
              <w:bottom w:val="single" w:sz="6" w:space="0" w:color="auto"/>
              <w:right w:val="single" w:sz="6" w:space="0" w:color="auto"/>
            </w:tcBorders>
          </w:tcPr>
          <w:p w14:paraId="2E380553" w14:textId="77777777" w:rsidR="00A537D1" w:rsidRPr="00A537D1" w:rsidRDefault="00A537D1" w:rsidP="00A537D1">
            <w:pPr>
              <w:spacing w:after="0"/>
              <w:rPr>
                <w:rFonts w:ascii="Arial" w:hAnsi="Arial" w:cs="Arial"/>
                <w:color w:val="000000" w:themeColor="text1"/>
                <w:sz w:val="20"/>
                <w:szCs w:val="20"/>
                <w:lang w:val="en-GB"/>
              </w:rPr>
            </w:pPr>
            <w:r w:rsidRPr="00A537D1">
              <w:rPr>
                <w:rFonts w:ascii="Arial" w:hAnsi="Arial" w:cs="Arial"/>
                <w:color w:val="000000" w:themeColor="text1"/>
                <w:sz w:val="17"/>
                <w:szCs w:val="20"/>
                <w:lang w:val="en-GB"/>
              </w:rPr>
              <w:t>Potential Impact</w:t>
            </w:r>
          </w:p>
        </w:tc>
      </w:tr>
      <w:tr w:rsidR="00A537D1" w:rsidRPr="00A537D1" w14:paraId="4217145F" w14:textId="77777777" w:rsidTr="00A537D1">
        <w:tblPrEx>
          <w:tblCellMar>
            <w:top w:w="0" w:type="dxa"/>
            <w:bottom w:w="0" w:type="dxa"/>
          </w:tblCellMar>
        </w:tblPrEx>
        <w:trPr>
          <w:trHeight w:val="782"/>
        </w:trPr>
        <w:tc>
          <w:tcPr>
            <w:tcW w:w="640" w:type="pct"/>
            <w:tcBorders>
              <w:top w:val="single" w:sz="6" w:space="0" w:color="auto"/>
              <w:left w:val="single" w:sz="6" w:space="0" w:color="auto"/>
              <w:bottom w:val="single" w:sz="6" w:space="0" w:color="auto"/>
              <w:right w:val="single" w:sz="6" w:space="0" w:color="auto"/>
            </w:tcBorders>
          </w:tcPr>
          <w:p w14:paraId="14BFF5A1" w14:textId="77777777" w:rsidR="00A537D1" w:rsidRPr="00A537D1" w:rsidRDefault="00A537D1" w:rsidP="00A537D1">
            <w:pPr>
              <w:spacing w:after="0"/>
              <w:rPr>
                <w:rFonts w:ascii="Arial" w:hAnsi="Arial" w:cs="Arial"/>
                <w:color w:val="000000" w:themeColor="text1"/>
                <w:sz w:val="20"/>
                <w:szCs w:val="20"/>
                <w:lang w:val="en-GB"/>
              </w:rPr>
            </w:pPr>
            <w:r>
              <w:rPr>
                <w:b w:val="0"/>
                <w:sz w:val="17"/>
              </w:rPr>
              <w:t>Unemployed customers carry higher risk (19.4%)</w:t>
            </w:r>
          </w:p>
        </w:tc>
        <w:tc>
          <w:tcPr>
            <w:tcW w:w="855" w:type="pct"/>
            <w:tcBorders>
              <w:top w:val="single" w:sz="6" w:space="0" w:color="auto"/>
              <w:left w:val="single" w:sz="6" w:space="0" w:color="auto"/>
              <w:bottom w:val="single" w:sz="6" w:space="0" w:color="auto"/>
              <w:right w:val="single" w:sz="6" w:space="0" w:color="auto"/>
            </w:tcBorders>
          </w:tcPr>
          <w:p w14:paraId="233EE3BA" w14:textId="77777777" w:rsidR="00A537D1" w:rsidRPr="00A537D1" w:rsidRDefault="00A537D1" w:rsidP="00A537D1">
            <w:pPr>
              <w:spacing w:after="0"/>
              <w:rPr>
                <w:rFonts w:ascii="Arial" w:hAnsi="Arial" w:cs="Arial"/>
                <w:color w:val="000000" w:themeColor="text1"/>
                <w:sz w:val="20"/>
                <w:szCs w:val="20"/>
                <w:lang w:val="en-GB"/>
              </w:rPr>
            </w:pPr>
            <w:r>
              <w:rPr>
                <w:b w:val="0"/>
                <w:sz w:val="17"/>
              </w:rPr>
              <w:t>Unemployed customers, especially with utilization of 50% or more (23.8%)</w:t>
            </w:r>
          </w:p>
        </w:tc>
        <w:tc>
          <w:tcPr>
            <w:tcW w:w="2231" w:type="pct"/>
            <w:tcBorders>
              <w:top w:val="single" w:sz="6" w:space="0" w:color="auto"/>
              <w:left w:val="single" w:sz="6" w:space="0" w:color="auto"/>
              <w:bottom w:val="single" w:sz="6" w:space="0" w:color="auto"/>
              <w:right w:val="single" w:sz="6" w:space="0" w:color="auto"/>
            </w:tcBorders>
          </w:tcPr>
          <w:p w14:paraId="3EB31FED" w14:textId="77777777" w:rsidR="00A537D1" w:rsidRPr="00A537D1" w:rsidRDefault="00A537D1" w:rsidP="00A537D1">
            <w:pPr>
              <w:spacing w:after="0"/>
              <w:rPr>
                <w:rFonts w:ascii="Arial" w:hAnsi="Arial" w:cs="Arial"/>
                <w:color w:val="000000" w:themeColor="text1"/>
                <w:sz w:val="20"/>
                <w:szCs w:val="20"/>
                <w:lang w:val="en-GB"/>
              </w:rPr>
            </w:pPr>
            <w:r>
              <w:rPr>
                <w:b w:val="0"/>
                <w:sz w:val="17"/>
              </w:rPr>
              <w:t>Employment_Status, Credit_Utilization, Income</w:t>
            </w:r>
          </w:p>
        </w:tc>
        <w:tc>
          <w:tcPr>
            <w:tcW w:w="1274" w:type="pct"/>
            <w:tcBorders>
              <w:top w:val="single" w:sz="6" w:space="0" w:color="auto"/>
              <w:left w:val="single" w:sz="6" w:space="0" w:color="auto"/>
              <w:bottom w:val="single" w:sz="6" w:space="0" w:color="auto"/>
              <w:right w:val="single" w:sz="6" w:space="0" w:color="auto"/>
            </w:tcBorders>
          </w:tcPr>
          <w:p w14:paraId="78DC9A44" w14:textId="77777777" w:rsidR="00A537D1" w:rsidRPr="00A537D1" w:rsidRDefault="00A537D1" w:rsidP="00A537D1">
            <w:pPr>
              <w:spacing w:after="0"/>
              <w:rPr>
                <w:rFonts w:ascii="Arial" w:hAnsi="Arial" w:cs="Arial"/>
                <w:color w:val="000000" w:themeColor="text1"/>
                <w:sz w:val="20"/>
                <w:szCs w:val="20"/>
                <w:lang w:val="en-GB"/>
              </w:rPr>
            </w:pPr>
            <w:r>
              <w:rPr>
                <w:b w:val="0"/>
                <w:sz w:val="17"/>
              </w:rPr>
              <w:t>Offer early, supportive outreach and flexible payment plans</w:t>
            </w:r>
          </w:p>
        </w:tc>
      </w:tr>
      <w:tr w:rsidR="00A537D1" w:rsidRPr="00A537D1" w14:paraId="4217145F" w14:textId="77777777" w:rsidTr="00A537D1">
        <w:tblPrEx>
          <w:tblCellMar>
            <w:top w:w="0" w:type="dxa"/>
            <w:bottom w:w="0" w:type="dxa"/>
          </w:tblCellMar>
        </w:tblPrEx>
        <w:trPr>
          <w:trHeight w:val="782"/>
        </w:trPr>
        <w:tc>
          <w:tcPr>
            <w:tcW w:w="640" w:type="pct"/>
            <w:tcBorders>
              <w:top w:val="single" w:sz="6" w:space="0" w:color="auto"/>
              <w:left w:val="single" w:sz="6" w:space="0" w:color="auto"/>
              <w:bottom w:val="single" w:sz="6" w:space="0" w:color="auto"/>
              <w:right w:val="single" w:sz="6" w:space="0" w:color="auto"/>
            </w:tcBorders>
          </w:tcPr>
          <w:p w14:paraId="14BFF5A1" w14:textId="77777777" w:rsidR="00A537D1" w:rsidRPr="00A537D1" w:rsidRDefault="00A537D1" w:rsidP="00A537D1">
            <w:pPr>
              <w:spacing w:after="0"/>
              <w:rPr>
                <w:rFonts w:ascii="Arial" w:hAnsi="Arial" w:cs="Arial"/>
                <w:color w:val="000000" w:themeColor="text1"/>
                <w:sz w:val="20"/>
                <w:szCs w:val="20"/>
                <w:lang w:val="en-GB"/>
              </w:rPr>
            </w:pPr>
            <w:r>
              <w:rPr>
                <w:b w:val="0"/>
                <w:sz w:val="17"/>
              </w:rPr>
              <w:t>Business card holders are the riskiest card type (21.3%)</w:t>
            </w:r>
          </w:p>
        </w:tc>
        <w:tc>
          <w:tcPr>
            <w:tcW w:w="855" w:type="pct"/>
            <w:tcBorders>
              <w:top w:val="single" w:sz="6" w:space="0" w:color="auto"/>
              <w:left w:val="single" w:sz="6" w:space="0" w:color="auto"/>
              <w:bottom w:val="single" w:sz="6" w:space="0" w:color="auto"/>
              <w:right w:val="single" w:sz="6" w:space="0" w:color="auto"/>
            </w:tcBorders>
          </w:tcPr>
          <w:p w14:paraId="233EE3BA" w14:textId="77777777" w:rsidR="00A537D1" w:rsidRPr="00A537D1" w:rsidRDefault="00A537D1" w:rsidP="00A537D1">
            <w:pPr>
              <w:spacing w:after="0"/>
              <w:rPr>
                <w:rFonts w:ascii="Arial" w:hAnsi="Arial" w:cs="Arial"/>
                <w:color w:val="000000" w:themeColor="text1"/>
                <w:sz w:val="20"/>
                <w:szCs w:val="20"/>
                <w:lang w:val="en-GB"/>
              </w:rPr>
            </w:pPr>
            <w:r>
              <w:rPr>
                <w:b w:val="0"/>
                <w:sz w:val="17"/>
              </w:rPr>
              <w:t>Business card customers; 33% when also unemployed (small group of 21)</w:t>
            </w:r>
          </w:p>
        </w:tc>
        <w:tc>
          <w:tcPr>
            <w:tcW w:w="2231" w:type="pct"/>
            <w:tcBorders>
              <w:top w:val="single" w:sz="6" w:space="0" w:color="auto"/>
              <w:left w:val="single" w:sz="6" w:space="0" w:color="auto"/>
              <w:bottom w:val="single" w:sz="6" w:space="0" w:color="auto"/>
              <w:right w:val="single" w:sz="6" w:space="0" w:color="auto"/>
            </w:tcBorders>
          </w:tcPr>
          <w:p w14:paraId="3EB31FED" w14:textId="77777777" w:rsidR="00A537D1" w:rsidRPr="00A537D1" w:rsidRDefault="00A537D1" w:rsidP="00A537D1">
            <w:pPr>
              <w:spacing w:after="0"/>
              <w:rPr>
                <w:rFonts w:ascii="Arial" w:hAnsi="Arial" w:cs="Arial"/>
                <w:color w:val="000000" w:themeColor="text1"/>
                <w:sz w:val="20"/>
                <w:szCs w:val="20"/>
                <w:lang w:val="en-GB"/>
              </w:rPr>
            </w:pPr>
            <w:r>
              <w:rPr>
                <w:b w:val="0"/>
                <w:sz w:val="17"/>
              </w:rPr>
              <w:t>Credit_Card_Type, Employment_Status</w:t>
            </w:r>
          </w:p>
        </w:tc>
        <w:tc>
          <w:tcPr>
            <w:tcW w:w="1274" w:type="pct"/>
            <w:tcBorders>
              <w:top w:val="single" w:sz="6" w:space="0" w:color="auto"/>
              <w:left w:val="single" w:sz="6" w:space="0" w:color="auto"/>
              <w:bottom w:val="single" w:sz="6" w:space="0" w:color="auto"/>
              <w:right w:val="single" w:sz="6" w:space="0" w:color="auto"/>
            </w:tcBorders>
          </w:tcPr>
          <w:p w14:paraId="78DC9A44" w14:textId="77777777" w:rsidR="00A537D1" w:rsidRPr="00A537D1" w:rsidRDefault="00A537D1" w:rsidP="00A537D1">
            <w:pPr>
              <w:spacing w:after="0"/>
              <w:rPr>
                <w:rFonts w:ascii="Arial" w:hAnsi="Arial" w:cs="Arial"/>
                <w:color w:val="000000" w:themeColor="text1"/>
                <w:sz w:val="20"/>
                <w:szCs w:val="20"/>
                <w:lang w:val="en-GB"/>
              </w:rPr>
            </w:pPr>
            <w:r>
              <w:rPr>
                <w:b w:val="0"/>
                <w:sz w:val="17"/>
              </w:rPr>
              <w:t>Product-specific outreach and monitoring</w:t>
            </w:r>
          </w:p>
        </w:tc>
      </w:tr>
      <w:tr w:rsidR="00A537D1" w:rsidRPr="00A537D1" w14:paraId="4217145F" w14:textId="77777777" w:rsidTr="00A537D1">
        <w:tblPrEx>
          <w:tblCellMar>
            <w:top w:w="0" w:type="dxa"/>
            <w:bottom w:w="0" w:type="dxa"/>
          </w:tblCellMar>
        </w:tblPrEx>
        <w:trPr>
          <w:trHeight w:val="782"/>
        </w:trPr>
        <w:tc>
          <w:tcPr>
            <w:tcW w:w="640" w:type="pct"/>
            <w:tcBorders>
              <w:top w:val="single" w:sz="6" w:space="0" w:color="auto"/>
              <w:left w:val="single" w:sz="6" w:space="0" w:color="auto"/>
              <w:bottom w:val="single" w:sz="6" w:space="0" w:color="auto"/>
              <w:right w:val="single" w:sz="6" w:space="0" w:color="auto"/>
            </w:tcBorders>
          </w:tcPr>
          <w:p w14:paraId="14BFF5A1" w14:textId="77777777" w:rsidR="00A537D1" w:rsidRPr="00A537D1" w:rsidRDefault="00A537D1" w:rsidP="00A537D1">
            <w:pPr>
              <w:spacing w:after="0"/>
              <w:rPr>
                <w:rFonts w:ascii="Arial" w:hAnsi="Arial" w:cs="Arial"/>
                <w:color w:val="000000" w:themeColor="text1"/>
                <w:sz w:val="20"/>
                <w:szCs w:val="20"/>
                <w:lang w:val="en-GB"/>
              </w:rPr>
            </w:pPr>
            <w:r>
              <w:rPr>
                <w:b w:val="0"/>
                <w:sz w:val="17"/>
              </w:rPr>
              <w:t>Risk rises once utilization passes about 30%</w:t>
            </w:r>
          </w:p>
        </w:tc>
        <w:tc>
          <w:tcPr>
            <w:tcW w:w="855" w:type="pct"/>
            <w:tcBorders>
              <w:top w:val="single" w:sz="6" w:space="0" w:color="auto"/>
              <w:left w:val="single" w:sz="6" w:space="0" w:color="auto"/>
              <w:bottom w:val="single" w:sz="6" w:space="0" w:color="auto"/>
              <w:right w:val="single" w:sz="6" w:space="0" w:color="auto"/>
            </w:tcBorders>
          </w:tcPr>
          <w:p w14:paraId="233EE3BA" w14:textId="77777777" w:rsidR="00A537D1" w:rsidRPr="00A537D1" w:rsidRDefault="00A537D1" w:rsidP="00A537D1">
            <w:pPr>
              <w:spacing w:after="0"/>
              <w:rPr>
                <w:rFonts w:ascii="Arial" w:hAnsi="Arial" w:cs="Arial"/>
                <w:color w:val="000000" w:themeColor="text1"/>
                <w:sz w:val="20"/>
                <w:szCs w:val="20"/>
                <w:lang w:val="en-GB"/>
              </w:rPr>
            </w:pPr>
            <w:r>
              <w:rPr>
                <w:b w:val="0"/>
                <w:sz w:val="17"/>
              </w:rPr>
              <w:t>Customers using 30% or more of their credit limit (83% of customers)</w:t>
            </w:r>
          </w:p>
        </w:tc>
        <w:tc>
          <w:tcPr>
            <w:tcW w:w="2231" w:type="pct"/>
            <w:tcBorders>
              <w:top w:val="single" w:sz="6" w:space="0" w:color="auto"/>
              <w:left w:val="single" w:sz="6" w:space="0" w:color="auto"/>
              <w:bottom w:val="single" w:sz="6" w:space="0" w:color="auto"/>
              <w:right w:val="single" w:sz="6" w:space="0" w:color="auto"/>
            </w:tcBorders>
          </w:tcPr>
          <w:p w14:paraId="3EB31FED" w14:textId="77777777" w:rsidR="00A537D1" w:rsidRPr="00A537D1" w:rsidRDefault="00A537D1" w:rsidP="00A537D1">
            <w:pPr>
              <w:spacing w:after="0"/>
              <w:rPr>
                <w:rFonts w:ascii="Arial" w:hAnsi="Arial" w:cs="Arial"/>
                <w:color w:val="000000" w:themeColor="text1"/>
                <w:sz w:val="20"/>
                <w:szCs w:val="20"/>
                <w:lang w:val="en-GB"/>
              </w:rPr>
            </w:pPr>
            <w:r>
              <w:rPr>
                <w:b w:val="0"/>
                <w:sz w:val="17"/>
              </w:rPr>
              <w:t>Credit_Utilization, Debt_to_Income_Ratio</w:t>
            </w:r>
          </w:p>
        </w:tc>
        <w:tc>
          <w:tcPr>
            <w:tcW w:w="1274" w:type="pct"/>
            <w:tcBorders>
              <w:top w:val="single" w:sz="6" w:space="0" w:color="auto"/>
              <w:left w:val="single" w:sz="6" w:space="0" w:color="auto"/>
              <w:bottom w:val="single" w:sz="6" w:space="0" w:color="auto"/>
              <w:right w:val="single" w:sz="6" w:space="0" w:color="auto"/>
            </w:tcBorders>
          </w:tcPr>
          <w:p w14:paraId="78DC9A44" w14:textId="77777777" w:rsidR="00A537D1" w:rsidRPr="00A537D1" w:rsidRDefault="00A537D1" w:rsidP="00A537D1">
            <w:pPr>
              <w:spacing w:after="0"/>
              <w:rPr>
                <w:rFonts w:ascii="Arial" w:hAnsi="Arial" w:cs="Arial"/>
                <w:color w:val="000000" w:themeColor="text1"/>
                <w:sz w:val="20"/>
                <w:szCs w:val="20"/>
                <w:lang w:val="en-GB"/>
              </w:rPr>
            </w:pPr>
            <w:r>
              <w:rPr>
                <w:b w:val="0"/>
                <w:sz w:val="17"/>
              </w:rPr>
              <w:t>Use utilization as an early-warning trigger</w:t>
            </w:r>
          </w:p>
        </w:tc>
      </w:tr>
    </w:tbl>
    <w:p w14:paraId="50978634" w14:textId="77777777" w:rsidR="00A537D1" w:rsidRPr="00A537D1" w:rsidRDefault="00A537D1">
      <w:pPr>
        <w:spacing w:after="40" w:before="0"/>
        <w:rPr>
          <w:rFonts w:ascii="Arial" w:hAnsi="Arial" w:cs="Arial"/>
          <w:color w:val="000000" w:themeColor="text1"/>
        </w:rPr>
      </w:pPr>
      <w:r>
        <w:rPr>
          <w:b/>
          <w:sz w:val="19"/>
        </w:rPr>
        <w:t xml:space="preserve">Watch-out: </w:t>
      </w:r>
      <w:r>
        <w:rPr>
          <w:b w:val="0"/>
          <w:sz w:val="19"/>
        </w:rPr>
        <w:t>payment history (Month_1 to Month_6, Missed_Payments) is normally the strongest predictor of delinquency but shows no clear link in this data. Geldium should confirm how Delinquent_Account and Missed_Payments are defined before the model goes live.</w:t>
      </w:r>
    </w:p>
    <w:p w14:paraId="72833B3F" w14:textId="77777777" w:rsidR="007D72C2" w:rsidRPr="00A537D1" w:rsidRDefault="00A537D1">
      <w:pPr>
        <w:pStyle w:val="Heading1"/>
        <w:spacing w:before="120" w:after="40"/>
        <w:rPr>
          <w:rFonts w:ascii="Arial" w:hAnsi="Arial" w:cs="Arial"/>
          <w:color w:val="000000" w:themeColor="text1"/>
        </w:rPr>
      </w:pPr>
      <w:r w:rsidRPr="00A537D1">
        <w:rPr>
          <w:rFonts w:ascii="Arial" w:hAnsi="Arial" w:cs="Arial"/>
          <w:color w:val="000000" w:themeColor="text1"/>
        </w:rPr>
        <w:t>2. Recommendation Framework</w:t>
      </w:r>
    </w:p>
    <w:p w14:paraId="2F84D53A" w14:textId="77777777" w:rsidR="007D72C2" w:rsidRPr="00A537D1" w:rsidRDefault="00A537D1">
      <w:pPr>
        <w:spacing w:after="40" w:before="0"/>
        <w:rPr>
          <w:rFonts w:ascii="Arial" w:hAnsi="Arial" w:cs="Arial"/>
          <w:color w:val="000000" w:themeColor="text1"/>
        </w:rPr>
      </w:pPr>
      <w:r>
        <w:rPr>
          <w:b w:val="0"/>
          <w:sz w:val="19"/>
        </w:rPr>
        <w:t>Based on the combined insight above, we recommend a controlled pilot. The reasoning is set out using the SMART approach.</w:t>
      </w:r>
    </w:p>
    <w:p w14:paraId="6CE07FC9" w14:textId="77777777" w:rsidR="007D72C2" w:rsidRPr="00A537D1" w:rsidRDefault="00A537D1">
      <w:pPr>
        <w:pStyle w:val="ListBullet"/>
        <w:spacing w:after="40" w:before="0"/>
        <w:rPr>
          <w:rFonts w:ascii="Arial" w:hAnsi="Arial" w:cs="Arial"/>
          <w:color w:val="000000" w:themeColor="text1"/>
        </w:rPr>
      </w:pPr>
      <w:r>
        <w:rPr>
          <w:b/>
          <w:sz w:val="19"/>
        </w:rPr>
        <w:t xml:space="preserve">Restated Insight: </w:t>
      </w:r>
      <w:r>
        <w:rPr>
          <w:b w:val="0"/>
          <w:sz w:val="19"/>
        </w:rPr>
        <w:t>Customers who are unemployed or hold Business cards and use 50% or more of their credit limit show a 20.7% delinquency rate vs 16.0% overall (82 of 500 customers).</w:t>
      </w:r>
    </w:p>
    <w:p w14:paraId="7B9326A5" w14:textId="77777777" w:rsidR="007D72C2" w:rsidRPr="00A537D1" w:rsidRDefault="00A537D1">
      <w:pPr>
        <w:pStyle w:val="ListBullet"/>
        <w:spacing w:after="40" w:before="0"/>
        <w:rPr>
          <w:rFonts w:ascii="Arial" w:hAnsi="Arial" w:cs="Arial"/>
          <w:color w:val="000000" w:themeColor="text1"/>
        </w:rPr>
      </w:pPr>
      <w:r>
        <w:rPr>
          <w:b/>
          <w:sz w:val="19"/>
        </w:rPr>
        <w:t xml:space="preserve">Proposed Recommendation: </w:t>
      </w:r>
      <w:r>
        <w:rPr>
          <w:b w:val="0"/>
          <w:sz w:val="19"/>
        </w:rPr>
        <w:t>Run an 8-week early-outreach pilot (SMS/email reminder plus an offer of a flexible payment plan) for this segment, with a randomly chosen control group that receives standard treatment.</w:t>
      </w:r>
    </w:p>
    <w:p w14:paraId="573E860B" w14:textId="0AE081C0" w:rsidR="007D72C2" w:rsidRPr="00A537D1" w:rsidRDefault="00A537D1">
      <w:pPr>
        <w:pStyle w:val="ListBullet2"/>
        <w:spacing w:after="40" w:before="0"/>
        <w:rPr>
          <w:rFonts w:ascii="Arial" w:hAnsi="Arial" w:cs="Arial"/>
          <w:color w:val="000000" w:themeColor="text1"/>
        </w:rPr>
      </w:pPr>
      <w:r>
        <w:rPr>
          <w:b/>
          <w:sz w:val="19"/>
        </w:rPr>
        <w:t xml:space="preserve">Specific: </w:t>
      </w:r>
      <w:r>
        <w:rPr>
          <w:b w:val="0"/>
          <w:sz w:val="19"/>
        </w:rPr>
        <w:t>proactive contact and payment-plan offer for unemployed or Business-card customers with utilization of 50% or more.</w:t>
      </w:r>
    </w:p>
    <w:p w14:paraId="14A948D0" w14:textId="2A45793E" w:rsidR="007D72C2" w:rsidRPr="00A537D1" w:rsidRDefault="00A537D1">
      <w:pPr>
        <w:pStyle w:val="ListBullet2"/>
        <w:spacing w:after="40" w:before="0"/>
        <w:rPr>
          <w:rFonts w:ascii="Arial" w:hAnsi="Arial" w:cs="Arial"/>
          <w:color w:val="000000" w:themeColor="text1"/>
        </w:rPr>
      </w:pPr>
      <w:r>
        <w:rPr>
          <w:b/>
          <w:sz w:val="19"/>
        </w:rPr>
        <w:t xml:space="preserve">Measurable: </w:t>
      </w:r>
      <w:r>
        <w:rPr>
          <w:b w:val="0"/>
          <w:sz w:val="19"/>
        </w:rPr>
        <w:t>cut the 30-day delinquency rate of the treated group by 10% relative to the control group (about 20.7% to 18.6%); also track contact and plan take-up rates.</w:t>
      </w:r>
    </w:p>
    <w:p w14:paraId="3D5B0DDB" w14:textId="7BFA667D" w:rsidR="007D72C2" w:rsidRPr="00A537D1" w:rsidRDefault="00A537D1">
      <w:pPr>
        <w:pStyle w:val="ListBullet2"/>
        <w:spacing w:after="40" w:before="0"/>
        <w:rPr>
          <w:rFonts w:ascii="Arial" w:hAnsi="Arial" w:cs="Arial"/>
          <w:color w:val="000000" w:themeColor="text1"/>
        </w:rPr>
      </w:pPr>
      <w:r>
        <w:rPr>
          <w:b/>
          <w:sz w:val="19"/>
        </w:rPr>
        <w:t xml:space="preserve">Actionable: </w:t>
      </w:r>
      <w:r>
        <w:rPr>
          <w:b w:val="0"/>
          <w:sz w:val="19"/>
        </w:rPr>
        <w:t>uses existing SMS/email channels and Collections staff; the model score selects who is contacted, and agents handle plan requests.</w:t>
      </w:r>
    </w:p>
    <w:p w14:paraId="692F7089" w14:textId="7C1B8958" w:rsidR="007D72C2" w:rsidRPr="00A537D1" w:rsidRDefault="00A537D1">
      <w:pPr>
        <w:pStyle w:val="ListBullet2"/>
        <w:spacing w:after="40" w:before="0"/>
        <w:rPr>
          <w:rFonts w:ascii="Arial" w:hAnsi="Arial" w:cs="Arial"/>
          <w:color w:val="000000" w:themeColor="text1"/>
        </w:rPr>
      </w:pPr>
      <w:r>
        <w:rPr>
          <w:b/>
          <w:sz w:val="19"/>
        </w:rPr>
        <w:t xml:space="preserve">Relevant: </w:t>
      </w:r>
      <w:r>
        <w:rPr>
          <w:b w:val="0"/>
          <w:sz w:val="19"/>
        </w:rPr>
        <w:t>targets Geldium's goal of lowering delinquency through earlier, more precise intervention rather than broad manual handling.</w:t>
      </w:r>
    </w:p>
    <w:p w14:paraId="5BFD19C6" w14:textId="549CBD98" w:rsidR="007D72C2" w:rsidRPr="00A537D1" w:rsidRDefault="00A537D1">
      <w:pPr>
        <w:pStyle w:val="ListBullet2"/>
        <w:spacing w:after="40" w:before="0"/>
        <w:rPr>
          <w:rFonts w:ascii="Arial" w:hAnsi="Arial" w:cs="Arial"/>
          <w:color w:val="000000" w:themeColor="text1"/>
        </w:rPr>
      </w:pPr>
      <w:r>
        <w:rPr>
          <w:b/>
          <w:sz w:val="19"/>
        </w:rPr>
        <w:t xml:space="preserve">Time-bound: </w:t>
      </w:r>
      <w:r>
        <w:rPr>
          <w:b w:val="0"/>
          <w:sz w:val="19"/>
        </w:rPr>
        <w:t>launch within 4 weeks, run for 8 weeks, and review results at 90 days.</w:t>
      </w:r>
    </w:p>
    <w:p w14:paraId="17D2B140" w14:textId="77777777" w:rsidR="007D72C2" w:rsidRPr="00A537D1" w:rsidRDefault="00A537D1">
      <w:pPr>
        <w:pStyle w:val="ListBullet"/>
        <w:spacing w:after="40" w:before="0"/>
        <w:rPr>
          <w:rFonts w:ascii="Arial" w:hAnsi="Arial" w:cs="Arial"/>
          <w:color w:val="000000" w:themeColor="text1"/>
        </w:rPr>
      </w:pPr>
      <w:r>
        <w:rPr>
          <w:b/>
          <w:sz w:val="19"/>
        </w:rPr>
        <w:t xml:space="preserve">Justification and Business Rationale: </w:t>
      </w:r>
      <w:r>
        <w:rPr>
          <w:b w:val="0"/>
          <w:sz w:val="19"/>
        </w:rPr>
        <w:t xml:space="preserve">Reaching at-risk customers before they miss a payment is cheaper than recovery and keeps the customer relationship intact. Because the evidence is still early, a pilot with a control group tests the idea at low cost and tells us whether it works before scaling. </w:t>
      </w:r>
      <w:r>
        <w:rPr>
          <w:b/>
          <w:sz w:val="19"/>
        </w:rPr>
        <w:t xml:space="preserve">For stakeholders: </w:t>
      </w:r>
      <w:r>
        <w:rPr>
          <w:b w:val="0"/>
          <w:sz w:val="19"/>
        </w:rPr>
        <w:t>"We will contact a small group of higher-risk customers early with help and payment options, and compare them with a similar group we leave alone, to see if early support reduces missed payments."</w:t>
      </w:r>
    </w:p>
    <w:p w14:paraId="08E6A272" w14:textId="77777777" w:rsidR="007D72C2" w:rsidRPr="00A537D1" w:rsidRDefault="00A537D1">
      <w:pPr>
        <w:pStyle w:val="Heading1"/>
        <w:spacing w:before="120" w:after="40"/>
        <w:rPr>
          <w:rFonts w:ascii="Arial" w:hAnsi="Arial" w:cs="Arial"/>
          <w:color w:val="000000" w:themeColor="text1"/>
        </w:rPr>
      </w:pPr>
      <w:r w:rsidRPr="00A537D1">
        <w:rPr>
          <w:rFonts w:ascii="Arial" w:hAnsi="Arial" w:cs="Arial"/>
          <w:color w:val="000000" w:themeColor="text1"/>
        </w:rPr>
        <w:t>3. Ethical and Responsible AI Considerations</w:t>
      </w:r>
    </w:p>
    <w:p w14:paraId="12F299C0" w14:textId="77777777" w:rsidR="007D72C2" w:rsidRPr="00A537D1" w:rsidRDefault="00A537D1">
      <w:pPr>
        <w:keepNext/>
        <w:spacing w:after="40" w:before="0"/>
        <w:rPr>
          <w:rFonts w:ascii="Arial" w:hAnsi="Arial" w:cs="Arial"/>
          <w:color w:val="000000" w:themeColor="text1"/>
        </w:rPr>
      </w:pPr>
      <w:r>
        <w:rPr>
          <w:b w:val="0"/>
          <w:sz w:val="19"/>
        </w:rPr>
        <w:t>This work affects customers' finances, so fairness and transparency matter as much as accuracy.</w:t>
      </w:r>
    </w:p>
    <w:p w14:paraId="00012648" w14:textId="6B4C09F0" w:rsidR="007D72C2" w:rsidRPr="00A537D1" w:rsidRDefault="00A537D1">
      <w:pPr>
        <w:pStyle w:val="ListBullet"/>
        <w:spacing w:after="40" w:before="0"/>
        <w:rPr>
          <w:rFonts w:ascii="Arial" w:hAnsi="Arial" w:cs="Arial"/>
          <w:color w:val="000000" w:themeColor="text1"/>
        </w:rPr>
      </w:pPr>
      <w:r>
        <w:rPr>
          <w:b/>
          <w:sz w:val="19"/>
        </w:rPr>
        <w:t xml:space="preserve">Two fairness risks and mitigations: </w:t>
      </w:r>
      <w:r>
        <w:rPr>
          <w:b w:val="0"/>
          <w:sz w:val="19"/>
        </w:rPr>
        <w:t>(1) Proxy bias: Employment_Status, Age (45-60 shows 20.0%) and Location (Los Angeles 19.6%) can stand in for protected or socio-economic characteristics, so groups could be unfairly targeted. Mitigation: keep Location and Age out of the model, and test outcomes by group using the disparate impact ratio (flag if below 0.8) and recall gaps. (2) Unreliable small segments: groups such as unemployed Business-card holders (21 customers) can produce false flags. Mitigation: use control groups, review thresholds regularly and require human review of borderline cases.</w:t>
      </w:r>
    </w:p>
    <w:p w14:paraId="47264F3A" w14:textId="553BA44A" w:rsidR="007D72C2" w:rsidRPr="00A537D1" w:rsidRDefault="00A537D1">
      <w:pPr>
        <w:pStyle w:val="ListBullet"/>
        <w:spacing w:after="40" w:before="0"/>
        <w:rPr>
          <w:rFonts w:ascii="Arial" w:hAnsi="Arial" w:cs="Arial"/>
          <w:color w:val="000000" w:themeColor="text1"/>
        </w:rPr>
      </w:pPr>
      <w:r>
        <w:rPr>
          <w:b/>
          <w:sz w:val="19"/>
        </w:rPr>
        <w:t xml:space="preserve">Explainability: </w:t>
      </w:r>
      <w:r>
        <w:rPr>
          <w:b w:val="0"/>
          <w:sz w:val="19"/>
        </w:rPr>
        <w:t>we describe a flag in plain words, for example "this customer uses most of their credit limit and has recent late payments", and show the top reasons for each score using coefficients (logistic regression) rather than a black box.</w:t>
      </w:r>
    </w:p>
    <w:p w14:paraId="23BA5152" w14:textId="510C173F" w:rsidR="007D72C2" w:rsidRPr="00A537D1" w:rsidRDefault="00A537D1">
      <w:pPr>
        <w:pStyle w:val="ListBullet"/>
        <w:spacing w:after="40" w:before="0"/>
        <w:rPr>
          <w:rFonts w:ascii="Arial" w:hAnsi="Arial" w:cs="Arial"/>
          <w:color w:val="000000" w:themeColor="text1"/>
        </w:rPr>
      </w:pPr>
      <w:r>
        <w:rPr>
          <w:b/>
          <w:sz w:val="19"/>
        </w:rPr>
        <w:t xml:space="preserve">Responsible decision-making: </w:t>
      </w:r>
      <w:r>
        <w:rPr>
          <w:b w:val="0"/>
          <w:sz w:val="19"/>
        </w:rPr>
        <w:t>the recommendation offers support (reminders, payment plans) rather than penalties, and no customer is refused or charged automatically on a model score alone.</w:t>
      </w:r>
    </w:p>
    <w:p w14:paraId="3DCE71AF" w14:textId="7D76B70B" w:rsidR="007D72C2" w:rsidRPr="00A537D1" w:rsidRDefault="00A537D1">
      <w:pPr>
        <w:pStyle w:val="ListBullet"/>
        <w:spacing w:after="40" w:before="0"/>
        <w:rPr>
          <w:rFonts w:ascii="Arial" w:hAnsi="Arial" w:cs="Arial"/>
          <w:color w:val="000000" w:themeColor="text1"/>
        </w:rPr>
      </w:pPr>
      <w:r>
        <w:rPr>
          <w:b/>
          <w:sz w:val="19"/>
        </w:rPr>
        <w:t xml:space="preserve">Other principles: </w:t>
      </w:r>
      <w:r>
        <w:rPr>
          <w:b w:val="0"/>
          <w:sz w:val="19"/>
        </w:rPr>
        <w:t>transparency (documented features and results), accountability (a named owner and quarterly bias and performance review), privacy (only necessary data, pseudonymised IDs) and validation of all GenAI-assisted outputs by analysts.</w:t>
      </w:r>
    </w:p>
    <w:sectPr w:rsidR="007D72C2" w:rsidRPr="00A537D1" w:rsidSect="00034616">
      <w:pgSz w:w="12240" w:h="15840"/>
      <w:pgMar w:top="864"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modern"/>
    <w:pitch w:val="fixed"/>
    <w:sig w:usb0="E0002A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9674117">
    <w:abstractNumId w:val="8"/>
  </w:num>
  <w:num w:numId="2" w16cid:durableId="1801531605">
    <w:abstractNumId w:val="6"/>
  </w:num>
  <w:num w:numId="3" w16cid:durableId="486094038">
    <w:abstractNumId w:val="5"/>
  </w:num>
  <w:num w:numId="4" w16cid:durableId="255750852">
    <w:abstractNumId w:val="4"/>
  </w:num>
  <w:num w:numId="5" w16cid:durableId="1951626911">
    <w:abstractNumId w:val="7"/>
  </w:num>
  <w:num w:numId="6" w16cid:durableId="1111168920">
    <w:abstractNumId w:val="3"/>
  </w:num>
  <w:num w:numId="7" w16cid:durableId="124276201">
    <w:abstractNumId w:val="2"/>
  </w:num>
  <w:num w:numId="8" w16cid:durableId="1778476411">
    <w:abstractNumId w:val="1"/>
  </w:num>
  <w:num w:numId="9" w16cid:durableId="11111295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D72C2"/>
    <w:rsid w:val="008237CA"/>
    <w:rsid w:val="00A537D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4DB5BE"/>
  <w14:defaultImageDpi w14:val="300"/>
  <w15:docId w15:val="{578686E3-F8AA-B641-B7B7-8F5C3F9AF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37D1"/>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A5A5A5"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DDDDD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DDDDD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DDDDD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6E6E6E"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6E6E6E"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DDDDD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A5A5A5"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DDDDD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DDDDDD" w:themeColor="accent1"/>
    </w:rPr>
  </w:style>
  <w:style w:type="paragraph" w:styleId="Title">
    <w:name w:val="Title"/>
    <w:basedOn w:val="Normal"/>
    <w:next w:val="Normal"/>
    <w:link w:val="TitleChar"/>
    <w:uiPriority w:val="10"/>
    <w:qFormat/>
    <w:rsid w:val="00FC693F"/>
    <w:pPr>
      <w:pBdr>
        <w:bottom w:val="single" w:sz="8" w:space="4" w:color="DDDDDD" w:themeColor="accent1"/>
      </w:pBdr>
      <w:spacing w:after="300" w:line="240" w:lineRule="auto"/>
      <w:contextualSpacing/>
    </w:pPr>
    <w:rPr>
      <w:rFonts w:asciiTheme="majorHAnsi" w:eastAsiaTheme="majorEastAsia" w:hAnsiTheme="majorHAnsi" w:cstheme="majorBidi"/>
      <w:color w:val="000000"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DDDDD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DDDDD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DDDDD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6E6E6E"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6E6E6E"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DDDDD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DDDDD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DDDDDD" w:themeColor="accent1"/>
      </w:pBdr>
      <w:spacing w:before="200" w:after="280"/>
      <w:ind w:left="936" w:right="936"/>
    </w:pPr>
    <w:rPr>
      <w:b/>
      <w:bCs/>
      <w:i/>
      <w:iCs/>
      <w:color w:val="DDDDDD" w:themeColor="accent1"/>
    </w:rPr>
  </w:style>
  <w:style w:type="character" w:customStyle="1" w:styleId="IntenseQuoteChar">
    <w:name w:val="Intense Quote Char"/>
    <w:basedOn w:val="DefaultParagraphFont"/>
    <w:link w:val="IntenseQuote"/>
    <w:uiPriority w:val="30"/>
    <w:rsid w:val="00FC693F"/>
    <w:rPr>
      <w:b/>
      <w:bCs/>
      <w:i/>
      <w:iCs/>
      <w:color w:val="DDDDD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DDDDDD" w:themeColor="accent1"/>
    </w:rPr>
  </w:style>
  <w:style w:type="character" w:styleId="SubtleReference">
    <w:name w:val="Subtle Reference"/>
    <w:basedOn w:val="DefaultParagraphFont"/>
    <w:uiPriority w:val="31"/>
    <w:qFormat/>
    <w:rsid w:val="00FC693F"/>
    <w:rPr>
      <w:smallCaps/>
      <w:color w:val="B2B2B2" w:themeColor="accent2"/>
      <w:u w:val="single"/>
    </w:rPr>
  </w:style>
  <w:style w:type="character" w:styleId="IntenseReference">
    <w:name w:val="Intense Reference"/>
    <w:basedOn w:val="DefaultParagraphFont"/>
    <w:uiPriority w:val="32"/>
    <w:qFormat/>
    <w:rsid w:val="00FC693F"/>
    <w:rPr>
      <w:b/>
      <w:bCs/>
      <w:smallCaps/>
      <w:color w:val="B2B2B2"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A5A5A5" w:themeColor="accent1" w:themeShade="BF"/>
    </w:rPr>
    <w:tblPr>
      <w:tblStyleRowBandSize w:val="1"/>
      <w:tblStyleColBandSize w:val="1"/>
      <w:tblBorders>
        <w:top w:val="single" w:sz="8" w:space="0" w:color="DDDDDD" w:themeColor="accent1"/>
        <w:bottom w:val="single" w:sz="8" w:space="0" w:color="DDDDDD" w:themeColor="accent1"/>
      </w:tblBorders>
    </w:tblPr>
    <w:tblStylePr w:type="fir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la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left w:val="nil"/>
          <w:right w:val="nil"/>
          <w:insideH w:val="nil"/>
          <w:insideV w:val="nil"/>
        </w:tcBorders>
        <w:shd w:val="clear" w:color="auto" w:fill="F6F6F6" w:themeFill="accent1" w:themeFillTint="3F"/>
      </w:tcPr>
    </w:tblStylePr>
  </w:style>
  <w:style w:type="table" w:styleId="LightShading-Accent2">
    <w:name w:val="Light Shading Accent 2"/>
    <w:basedOn w:val="TableNormal"/>
    <w:uiPriority w:val="60"/>
    <w:rsid w:val="00FC693F"/>
    <w:pPr>
      <w:spacing w:after="0" w:line="240" w:lineRule="auto"/>
    </w:pPr>
    <w:rPr>
      <w:color w:val="858585" w:themeColor="accent2" w:themeShade="BF"/>
    </w:rPr>
    <w:tblPr>
      <w:tblStyleRowBandSize w:val="1"/>
      <w:tblStyleColBandSize w:val="1"/>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rsid w:val="00FC693F"/>
    <w:pPr>
      <w:spacing w:after="0" w:line="240" w:lineRule="auto"/>
    </w:pPr>
    <w:rPr>
      <w:color w:val="707070" w:themeColor="accent3" w:themeShade="BF"/>
    </w:rPr>
    <w:tblPr>
      <w:tblStyleRowBandSize w:val="1"/>
      <w:tblStyleColBandSize w:val="1"/>
      <w:tblBorders>
        <w:top w:val="single" w:sz="8" w:space="0" w:color="969696" w:themeColor="accent3"/>
        <w:bottom w:val="single" w:sz="8" w:space="0" w:color="969696" w:themeColor="accent3"/>
      </w:tblBorders>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rsid w:val="00FC693F"/>
    <w:pPr>
      <w:spacing w:after="0" w:line="240" w:lineRule="auto"/>
    </w:pPr>
    <w:rPr>
      <w:color w:val="5F5F5F" w:themeColor="accent4" w:themeShade="BF"/>
    </w:rPr>
    <w:tblPr>
      <w:tblStyleRowBandSize w:val="1"/>
      <w:tblStyleColBandSize w:val="1"/>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rsid w:val="00FC693F"/>
    <w:pPr>
      <w:spacing w:after="0" w:line="240" w:lineRule="auto"/>
    </w:pPr>
    <w:rPr>
      <w:color w:val="474747" w:themeColor="accent5" w:themeShade="BF"/>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rsid w:val="00FC693F"/>
    <w:pPr>
      <w:spacing w:after="0" w:line="240" w:lineRule="auto"/>
    </w:pPr>
    <w:rPr>
      <w:color w:val="393939" w:themeColor="accent6" w:themeShade="BF"/>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pPr>
        <w:spacing w:before="0" w:after="0" w:line="240" w:lineRule="auto"/>
      </w:pPr>
      <w:rPr>
        <w:b/>
        <w:bCs/>
        <w:color w:val="FFFFFF" w:themeColor="background1"/>
      </w:rPr>
      <w:tblPr/>
      <w:tcPr>
        <w:shd w:val="clear" w:color="auto" w:fill="DDDDDD" w:themeFill="accent1"/>
      </w:tcPr>
    </w:tblStylePr>
    <w:tblStylePr w:type="lastRow">
      <w:pPr>
        <w:spacing w:before="0" w:after="0" w:line="240" w:lineRule="auto"/>
      </w:pPr>
      <w:rPr>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tcBorders>
      </w:tcPr>
    </w:tblStylePr>
    <w:tblStylePr w:type="firstCol">
      <w:rPr>
        <w:b/>
        <w:bCs/>
      </w:rPr>
    </w:tblStylePr>
    <w:tblStylePr w:type="lastCol">
      <w:rPr>
        <w:b/>
        <w:bCs/>
      </w:r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18" w:space="0" w:color="DDDDDD" w:themeColor="accent1"/>
          <w:right w:val="single" w:sz="8" w:space="0" w:color="DDDDDD" w:themeColor="accent1"/>
          <w:insideH w:val="nil"/>
          <w:insideV w:val="single" w:sz="8" w:space="0" w:color="DDDDD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insideH w:val="nil"/>
          <w:insideV w:val="single" w:sz="8" w:space="0" w:color="DDDDD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shd w:val="clear" w:color="auto" w:fill="F6F6F6" w:themeFill="accent1" w:themeFillTint="3F"/>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shd w:val="clear" w:color="auto" w:fill="F6F6F6" w:themeFill="accent1" w:themeFillTint="3F"/>
      </w:tcPr>
    </w:tblStylePr>
    <w:tblStylePr w:type="band2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tblBorders>
    </w:tblPr>
    <w:tblStylePr w:type="firstRow">
      <w:pPr>
        <w:spacing w:before="0" w:after="0" w:line="240" w:lineRule="auto"/>
      </w:pPr>
      <w:rPr>
        <w:b/>
        <w:bCs/>
        <w:color w:val="FFFFFF" w:themeColor="background1"/>
      </w:rPr>
      <w:tblPr/>
      <w:tcPr>
        <w:tc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shd w:val="clear" w:color="auto" w:fill="DDDDDD" w:themeFill="accent1"/>
      </w:tcPr>
    </w:tblStylePr>
    <w:tblStylePr w:type="lastRow">
      <w:pPr>
        <w:spacing w:before="0" w:after="0" w:line="240" w:lineRule="auto"/>
      </w:pPr>
      <w:rPr>
        <w:b/>
        <w:bCs/>
      </w:rPr>
      <w:tblPr/>
      <w:tcPr>
        <w:tcBorders>
          <w:top w:val="double" w:sz="6"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tcPr>
    </w:tblStylePr>
    <w:tblStylePr w:type="firstCol">
      <w:rPr>
        <w:b/>
        <w:bCs/>
      </w:rPr>
    </w:tblStylePr>
    <w:tblStylePr w:type="lastCol">
      <w:rPr>
        <w:b/>
        <w:bCs/>
      </w:rPr>
    </w:tblStylePr>
    <w:tblStylePr w:type="band1Vert">
      <w:tblPr/>
      <w:tcPr>
        <w:shd w:val="clear" w:color="auto" w:fill="F6F6F6" w:themeFill="accent1" w:themeFillTint="3F"/>
      </w:tcPr>
    </w:tblStylePr>
    <w:tblStylePr w:type="band1Horz">
      <w:tblPr/>
      <w:tcPr>
        <w:tcBorders>
          <w:insideH w:val="nil"/>
          <w:insideV w:val="nil"/>
        </w:tcBorders>
        <w:shd w:val="clear" w:color="auto" w:fill="F6F6F6"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DDDD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DDDDD" w:themeFill="accent1"/>
      </w:tcPr>
    </w:tblStylePr>
    <w:tblStylePr w:type="lastCol">
      <w:rPr>
        <w:b/>
        <w:bCs/>
        <w:color w:val="FFFFFF" w:themeColor="background1"/>
      </w:rPr>
      <w:tblPr/>
      <w:tcPr>
        <w:tcBorders>
          <w:left w:val="nil"/>
          <w:right w:val="nil"/>
          <w:insideH w:val="nil"/>
          <w:insideV w:val="nil"/>
        </w:tcBorders>
        <w:shd w:val="clear" w:color="auto" w:fill="DDDDD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DDDDDD" w:themeColor="accent1"/>
        <w:bottom w:val="single" w:sz="8" w:space="0" w:color="DDDDDD" w:themeColor="accent1"/>
      </w:tblBorders>
    </w:tblPr>
    <w:tblStylePr w:type="firstRow">
      <w:rPr>
        <w:rFonts w:asciiTheme="majorHAnsi" w:eastAsiaTheme="majorEastAsia" w:hAnsiTheme="majorHAnsi" w:cstheme="majorBidi"/>
      </w:rPr>
      <w:tblPr/>
      <w:tcPr>
        <w:tcBorders>
          <w:top w:val="nil"/>
          <w:bottom w:val="single" w:sz="8" w:space="0" w:color="DDDDDD" w:themeColor="accent1"/>
        </w:tcBorders>
      </w:tcPr>
    </w:tblStylePr>
    <w:tblStylePr w:type="lastRow">
      <w:rPr>
        <w:b/>
        <w:bCs/>
        <w:color w:val="000000" w:themeColor="text2"/>
      </w:rPr>
      <w:tblPr/>
      <w:tcPr>
        <w:tcBorders>
          <w:top w:val="single" w:sz="8" w:space="0" w:color="DDDDDD" w:themeColor="accent1"/>
          <w:bottom w:val="single" w:sz="8" w:space="0" w:color="DDDDDD" w:themeColor="accent1"/>
        </w:tcBorders>
      </w:tcPr>
    </w:tblStylePr>
    <w:tblStylePr w:type="firstCol">
      <w:rPr>
        <w:b/>
        <w:bCs/>
      </w:rPr>
    </w:tblStylePr>
    <w:tblStylePr w:type="lastCol">
      <w:rPr>
        <w:b/>
        <w:bCs/>
      </w:rPr>
      <w:tblPr/>
      <w:tcPr>
        <w:tcBorders>
          <w:top w:val="single" w:sz="8" w:space="0" w:color="DDDDDD" w:themeColor="accent1"/>
          <w:bottom w:val="single" w:sz="8" w:space="0" w:color="DDDDDD" w:themeColor="accent1"/>
        </w:tcBorders>
      </w:tcPr>
    </w:tblStylePr>
    <w:tblStylePr w:type="band1Vert">
      <w:tblPr/>
      <w:tcPr>
        <w:shd w:val="clear" w:color="auto" w:fill="F6F6F6" w:themeFill="accent1" w:themeFillTint="3F"/>
      </w:tcPr>
    </w:tblStylePr>
    <w:tblStylePr w:type="band1Horz">
      <w:tblPr/>
      <w:tcPr>
        <w:shd w:val="clear" w:color="auto" w:fill="F6F6F6"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B2B2B2" w:themeColor="accent2"/>
        <w:bottom w:val="single" w:sz="8" w:space="0" w:color="B2B2B2" w:themeColor="accent2"/>
      </w:tblBorders>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69696" w:themeColor="accent3"/>
        <w:bottom w:val="single" w:sz="8" w:space="0" w:color="969696" w:themeColor="accent3"/>
      </w:tblBorders>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8080" w:themeColor="accent4"/>
        <w:bottom w:val="single" w:sz="8" w:space="0" w:color="808080" w:themeColor="accent4"/>
      </w:tblBorders>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rPr>
        <w:sz w:val="24"/>
        <w:szCs w:val="24"/>
      </w:rPr>
      <w:tblPr/>
      <w:tcPr>
        <w:tcBorders>
          <w:top w:val="nil"/>
          <w:left w:val="nil"/>
          <w:bottom w:val="single" w:sz="24" w:space="0" w:color="DDDDDD" w:themeColor="accent1"/>
          <w:right w:val="nil"/>
          <w:insideH w:val="nil"/>
          <w:insideV w:val="nil"/>
        </w:tcBorders>
        <w:shd w:val="clear" w:color="auto" w:fill="FFFFFF" w:themeFill="background1"/>
      </w:tcPr>
    </w:tblStylePr>
    <w:tblStylePr w:type="lastRow">
      <w:tblPr/>
      <w:tcPr>
        <w:tcBorders>
          <w:top w:val="single" w:sz="8" w:space="0" w:color="DDDDD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DDDDD" w:themeColor="accent1"/>
          <w:insideH w:val="nil"/>
          <w:insideV w:val="nil"/>
        </w:tcBorders>
        <w:shd w:val="clear" w:color="auto" w:fill="FFFFFF" w:themeFill="background1"/>
      </w:tcPr>
    </w:tblStylePr>
    <w:tblStylePr w:type="lastCol">
      <w:tblPr/>
      <w:tcPr>
        <w:tcBorders>
          <w:top w:val="nil"/>
          <w:left w:val="single" w:sz="8" w:space="0" w:color="DDDDD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top w:val="nil"/>
          <w:bottom w:val="nil"/>
          <w:insideH w:val="nil"/>
          <w:insideV w:val="nil"/>
        </w:tcBorders>
        <w:shd w:val="clear" w:color="auto" w:fill="F6F6F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single" w:sz="8" w:space="0" w:color="B2B2B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single" w:sz="8" w:space="0" w:color="969696"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single" w:sz="8" w:space="0" w:color="80808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single" w:sz="8" w:space="0" w:color="5F5F5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single" w:sz="8" w:space="0" w:color="4D4D4D"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insideV w:val="single" w:sz="8" w:space="0" w:color="E5E5E5" w:themeColor="accent1" w:themeTint="BF"/>
      </w:tblBorders>
    </w:tblPr>
    <w:tcPr>
      <w:shd w:val="clear" w:color="auto" w:fill="F6F6F6" w:themeFill="accent1" w:themeFillTint="3F"/>
    </w:tcPr>
    <w:tblStylePr w:type="firstRow">
      <w:rPr>
        <w:b/>
        <w:bCs/>
      </w:rPr>
    </w:tblStylePr>
    <w:tblStylePr w:type="lastRow">
      <w:rPr>
        <w:b/>
        <w:bCs/>
      </w:rPr>
      <w:tblPr/>
      <w:tcPr>
        <w:tcBorders>
          <w:top w:val="single" w:sz="18" w:space="0" w:color="E5E5E5" w:themeColor="accent1" w:themeTint="BF"/>
        </w:tcBorders>
      </w:tcPr>
    </w:tblStylePr>
    <w:tblStylePr w:type="firstCol">
      <w:rPr>
        <w:b/>
        <w:bCs/>
      </w:rPr>
    </w:tblStylePr>
    <w:tblStylePr w:type="lastCol">
      <w:rPr>
        <w:b/>
        <w:bCs/>
      </w:r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cPr>
      <w:shd w:val="clear" w:color="auto" w:fill="F6F6F6" w:themeFill="accent1" w:themeFillTint="3F"/>
    </w:tcPr>
    <w:tblStylePr w:type="firstRow">
      <w:rPr>
        <w:b/>
        <w:bCs/>
        <w:color w:val="000000" w:themeColor="text1"/>
      </w:rPr>
      <w:tblPr/>
      <w:tcPr>
        <w:shd w:val="clear" w:color="auto" w:fill="FBFB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F8F8" w:themeFill="accent1" w:themeFillTint="33"/>
      </w:tcPr>
    </w:tblStylePr>
    <w:tblStylePr w:type="band1Vert">
      <w:tblPr/>
      <w:tcPr>
        <w:shd w:val="clear" w:color="auto" w:fill="EEEEEE" w:themeFill="accent1" w:themeFillTint="7F"/>
      </w:tcPr>
    </w:tblStylePr>
    <w:tblStylePr w:type="band1Horz">
      <w:tblPr/>
      <w:tcPr>
        <w:tcBorders>
          <w:insideH w:val="single" w:sz="6" w:space="0" w:color="DDDDDD" w:themeColor="accent1"/>
          <w:insideV w:val="single" w:sz="6" w:space="0" w:color="DDDDDD" w:themeColor="accent1"/>
        </w:tcBorders>
        <w:shd w:val="clear" w:color="auto" w:fill="EEEEE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F6F6"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DDDD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DDDD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EEEE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EEEE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DDDDD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E6E6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A5A5A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A5A5A5" w:themeFill="accent1" w:themeFillShade="BF"/>
      </w:tcPr>
    </w:tblStylePr>
    <w:tblStylePr w:type="band1Vert">
      <w:tblPr/>
      <w:tcPr>
        <w:tcBorders>
          <w:top w:val="nil"/>
          <w:left w:val="nil"/>
          <w:bottom w:val="nil"/>
          <w:right w:val="nil"/>
          <w:insideH w:val="nil"/>
          <w:insideV w:val="nil"/>
        </w:tcBorders>
        <w:shd w:val="clear" w:color="auto" w:fill="A5A5A5" w:themeFill="accent1" w:themeFillShade="BF"/>
      </w:tcPr>
    </w:tblStylePr>
    <w:tblStylePr w:type="band1Horz">
      <w:tblPr/>
      <w:tcPr>
        <w:tcBorders>
          <w:top w:val="nil"/>
          <w:left w:val="nil"/>
          <w:bottom w:val="nil"/>
          <w:right w:val="nil"/>
          <w:insideH w:val="nil"/>
          <w:insideV w:val="nil"/>
        </w:tcBorders>
        <w:shd w:val="clear" w:color="auto" w:fill="A5A5A5"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DDDDDD" w:themeColor="accent1"/>
        <w:bottom w:val="single" w:sz="4" w:space="0" w:color="DDDDDD" w:themeColor="accent1"/>
        <w:right w:val="single" w:sz="4" w:space="0" w:color="DDDDDD" w:themeColor="accent1"/>
        <w:insideH w:val="single" w:sz="4" w:space="0" w:color="FFFFFF" w:themeColor="background1"/>
        <w:insideV w:val="single" w:sz="4" w:space="0" w:color="FFFFFF" w:themeColor="background1"/>
      </w:tblBorders>
    </w:tblPr>
    <w:tcPr>
      <w:shd w:val="clear" w:color="auto" w:fill="FBFBFB"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48484" w:themeFill="accent1" w:themeFillShade="99"/>
      </w:tcPr>
    </w:tblStylePr>
    <w:tblStylePr w:type="firstCol">
      <w:rPr>
        <w:color w:val="FFFFFF" w:themeColor="background1"/>
      </w:rPr>
      <w:tblPr/>
      <w:tcPr>
        <w:tcBorders>
          <w:top w:val="nil"/>
          <w:left w:val="nil"/>
          <w:bottom w:val="nil"/>
          <w:right w:val="nil"/>
          <w:insideH w:val="single" w:sz="4" w:space="0" w:color="848484" w:themeColor="accent1" w:themeShade="99"/>
          <w:insideV w:val="nil"/>
        </w:tcBorders>
        <w:shd w:val="clear" w:color="auto" w:fill="84848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848484" w:themeFill="accent1" w:themeFillShade="99"/>
      </w:tcPr>
    </w:tblStylePr>
    <w:tblStylePr w:type="band1Vert">
      <w:tblPr/>
      <w:tcPr>
        <w:shd w:val="clear" w:color="auto" w:fill="F1F1F1" w:themeFill="accent1" w:themeFillTint="66"/>
      </w:tcPr>
    </w:tblStylePr>
    <w:tblStylePr w:type="band1Horz">
      <w:tblPr/>
      <w:tcPr>
        <w:shd w:val="clear" w:color="auto" w:fill="EEEEE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BFBFB"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F6F6" w:themeFill="accent1" w:themeFillTint="3F"/>
      </w:tcPr>
    </w:tblStylePr>
    <w:tblStylePr w:type="band1Horz">
      <w:tblPr/>
      <w:tcPr>
        <w:shd w:val="clear" w:color="auto" w:fill="F8F8F8"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8F8F8" w:themeFill="accent1" w:themeFillTint="33"/>
    </w:tcPr>
    <w:tblStylePr w:type="firstRow">
      <w:rPr>
        <w:b/>
        <w:bCs/>
      </w:rPr>
      <w:tblPr/>
      <w:tcPr>
        <w:shd w:val="clear" w:color="auto" w:fill="F1F1F1" w:themeFill="accent1" w:themeFillTint="66"/>
      </w:tcPr>
    </w:tblStylePr>
    <w:tblStylePr w:type="lastRow">
      <w:rPr>
        <w:b/>
        <w:bCs/>
        <w:color w:val="000000" w:themeColor="text1"/>
      </w:rPr>
      <w:tblPr/>
      <w:tcPr>
        <w:shd w:val="clear" w:color="auto" w:fill="F1F1F1" w:themeFill="accent1" w:themeFillTint="66"/>
      </w:tcPr>
    </w:tblStylePr>
    <w:tblStylePr w:type="firstCol">
      <w:rPr>
        <w:color w:val="FFFFFF" w:themeColor="background1"/>
      </w:rPr>
      <w:tblPr/>
      <w:tcPr>
        <w:shd w:val="clear" w:color="auto" w:fill="A5A5A5" w:themeFill="accent1" w:themeFillShade="BF"/>
      </w:tcPr>
    </w:tblStylePr>
    <w:tblStylePr w:type="lastCol">
      <w:rPr>
        <w:color w:val="FFFFFF" w:themeColor="background1"/>
      </w:rPr>
      <w:tblPr/>
      <w:tcPr>
        <w:shd w:val="clear" w:color="auto" w:fill="A5A5A5" w:themeFill="accent1" w:themeFillShade="BF"/>
      </w:tc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Gre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291</Words>
  <Characters>1662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Tran, Tammy</cp:lastModifiedBy>
  <cp:revision>2</cp:revision>
  <dcterms:created xsi:type="dcterms:W3CDTF">2013-12-23T23:15:00Z</dcterms:created>
  <dcterms:modified xsi:type="dcterms:W3CDTF">2025-03-23T11:41:00Z</dcterms:modified>
  <cp:category/>
</cp:coreProperties>
</file>