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F6C00" w:sz="12"/>
              <w:right w:val="none"/>
            </w:tcBorders>
            <w:shd w:fill="1565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MD204 • Pediatrics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Module Title — replace with actual module name</w:t>
      </w:r>
    </w:p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Lecture by [Lecturer Name]</w:t>
      </w:r>
    </w:p>
    <w:p>
      <w:pPr>
        <w:keepNext/>
        <w:pBdr>
          <w:left w:val="single" w:color="EF6C00" w:sz="14" w:space="5"/>
        </w:pBdr>
        <w:shd w:fill="E3F2FD" w:val="clear"/>
        <w:spacing w:after="44" w:before="110"/>
      </w:pPr>
      <w:r>
        <w:rPr>
          <w:rFonts w:ascii="Cambria" w:cs="Cambria" w:eastAsia="Cambria" w:hAnsi="Cambria"/>
          <w:b/>
          <w:bCs/>
          <w:color w:val="1565C0"/>
          <w:sz w:val="20"/>
          <w:szCs w:val="20"/>
        </w:rPr>
        <w:t xml:space="preserve">★ KEY CONCEPTS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1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2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3 — landmark fact or clinical rule.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F6C00" w:sz="12"/>
              <w:right w:val="none"/>
            </w:tcBorders>
            <w:shd w:fill="1565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A — [Topic Name]</w:t>
            </w:r>
          </w:p>
        </w:tc>
      </w:tr>
    </w:tbl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Definitions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Term A: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 Slide-order content flows inline; tables appear after the slide they were extracted from.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Term B: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point — place immediately after its slide text.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Detail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Clinical Note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3C</w:t>
            </w:r>
          </w:p>
        </w:tc>
      </w:tr>
    </w:tbl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Pathophysiology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1 — continues immediately after the table above (no blank spacer).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2 — figures embed after the slide page text they belong to.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F6C00" w:sz="12"/>
              <w:right w:val="none"/>
            </w:tcBorders>
            <w:shd w:fill="1565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B — Strip Callout Examples (Beta)</w:t>
            </w:r>
          </w:p>
        </w:tc>
      </w:tr>
    </w:tbl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Strips are opt-in — use only when user requests them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Default runs do NOT include strips. Include only when explicitly requested.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When requested, place each strip at its slide-order position.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EF6C00" w:sz="14"/>
              <w:bottom w:val="none"/>
              <w:right w:val="none"/>
            </w:tcBorders>
            <w:shd w:fill="F5F0E8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EF6C00"/>
                <w:sz w:val="13"/>
                <w:szCs w:val="13"/>
              </w:rPr>
              <w:t xml:space="preserve">LECTURER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"Place this strip immediately after the slide content it annotates — never at the end of the topic. Include the attribution."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Lecturer Name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Mnemonic / Timing Cue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text for the mnemonic that follows.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2E7D32" w:sz="14"/>
              <w:bottom w:val="none"/>
              <w:right w:val="none"/>
            </w:tcBorders>
            <w:shd w:fill="EAF4EA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MNEMONIC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A1A1A"/>
                <w:sz w:val="13"/>
                <w:szCs w:val="13"/>
              </w:rPr>
              <w:t xml:space="preserve">Mnemonic label — structured memory aid: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A — first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B — second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C — third item (with timing cue if applicable)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Review Reference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5A7FA8" w:sz="14"/>
              <w:bottom w:val="none"/>
              <w:right w:val="none"/>
            </w:tcBorders>
            <w:shd w:fill="EEF2F7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5A7FA8"/>
                <w:sz w:val="13"/>
                <w:szCs w:val="13"/>
              </w:rPr>
              <w:t xml:space="preserve">SOURCE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"Source callout — quote from Topnotch OB, OB Platinum, or a textbook reference. Keep it verbatim from the source slide."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Topnotch OB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F6C00" w:sz="12"/>
              <w:right w:val="none"/>
            </w:tcBorders>
            <w:shd w:fill="1565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C — Classification / Comparison Table</w:t>
            </w:r>
          </w:p>
        </w:tc>
      </w:tr>
    </w:tbl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Classification by [Criterion]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Formal classification grids → makeTable(), not bullet lists.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Multi-slide tables: reconstruct into one coherent table, placed at the first slide's position.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Class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Subtype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Clinical Relevance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A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B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C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W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D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EF6C00" w:sz="12"/>
              <w:right w:val="none"/>
            </w:tcBorders>
            <w:shd w:fill="1565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MD204 — Comprehensive Examination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PLE/USMLE-style. ~70 % LOTS / 30 % HOTS. Length-balanced choices. No parenthetical giveaways.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1565C0"/>
          <w:sz w:val="16"/>
          <w:szCs w:val="16"/>
        </w:rPr>
        <w:t xml:space="preserve">Q1.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case vignette. All four choices are similar in length. Which of the following is most appropriate?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A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B — correct answer,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C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D — plausible distractor, similar character count to all others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1565C0"/>
          <w:sz w:val="16"/>
          <w:szCs w:val="16"/>
        </w:rPr>
        <w:t xml:space="preserve">Q2.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higher-order vignette requiring application. Which mechanism is most responsible?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A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B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C — correct answer, same length and parallel construction as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1976D2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D — clinically plausible wrong answer matching vignette details</w:t>
      </w:r>
    </w:p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Answer Key and Rationales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Q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Ans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/>
              <w:left w:val="none"/>
              <w:bottom w:val="single" w:color="EF6C00" w:sz="12"/>
              <w:right w:val="none"/>
            </w:tcBorders>
            <w:shd w:fill="1565C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MD204 — Master Reference Tables</w:t>
            </w:r>
          </w:p>
        </w:tc>
      </w:tr>
    </w:tbl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Summary Table A — [Topic Name]</w:t>
      </w:r>
    </w:p>
    <w:tbl>
      <w:tblPr>
        <w:tblW w:type="dxa" w:w="14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0"/>
        <w:gridCol w:w="4790"/>
        <w:gridCol w:w="4790"/>
      </w:tblGrid>
      <w:tr>
        <w:trPr>
          <w:cantSplit/>
          <w:tblHeader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Term / Concept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Clinical Pearl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1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A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A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2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B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B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3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C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C</w:t>
            </w:r>
          </w:p>
        </w:tc>
      </w:tr>
    </w:tbl>
    <w:p>
      <w:pPr>
        <w:keepNext/>
        <w:keepLines/>
        <w:pBdr>
          <w:bottom w:val="single" w:color="E3F2FD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1976D2"/>
          <w:sz w:val="20"/>
          <w:szCs w:val="20"/>
        </w:rPr>
        <w:t xml:space="preserve">Summary Table B — Classification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3570"/>
        <w:gridCol w:w="3570"/>
        <w:gridCol w:w="3570"/>
      </w:tblGrid>
      <w:tr>
        <w:trPr>
          <w:cantSplit/>
          <w:tblHeader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Subcategory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3F2FD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976D2"/>
                <w:sz w:val="13"/>
                <w:szCs w:val="13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3</w:t>
            </w:r>
          </w:p>
        </w:tc>
      </w:tr>
    </w:tbl>
    <w:sectPr>
      <w:headerReference w:type="default" r:id="rId11"/>
      <w:footerReference w:type="default" r:id="rId12"/>
      <w:pgSz w:w="15840" w:h="12240" w:orient="portrait"/>
      <w:pgMar w:top="720" w:right="576" w:bottom="720" w:left="576" w:header="708" w:footer="708" w:gutter="0"/>
      <w:pgNumType/>
      <w:cols w:space="0" w:num="1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MD204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1976D2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1976D2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MD204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1976D2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1976D2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MD204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1976D2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1976D2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6C00" w:sz="6" w:space="3"/>
      </w:pBdr>
      <w:spacing w:after="28"/>
    </w:pPr>
    <w:r>
      <w:rPr>
        <w:rFonts w:ascii="Cambria" w:cs="Cambria" w:eastAsia="Cambria" w:hAnsi="Cambria"/>
        <w:b/>
        <w:bCs/>
        <w:color w:val="1976D2"/>
        <w:sz w:val="13"/>
        <w:szCs w:val="13"/>
      </w:rPr>
      <w:t xml:space="preserve">MD204 • Pediatrics — Shell v1.4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6C00" w:sz="6" w:space="3"/>
      </w:pBdr>
      <w:spacing w:after="28"/>
    </w:pPr>
    <w:r>
      <w:rPr>
        <w:rFonts w:ascii="Cambria" w:cs="Cambria" w:eastAsia="Cambria" w:hAnsi="Cambria"/>
        <w:b/>
        <w:bCs/>
        <w:color w:val="1976D2"/>
        <w:sz w:val="13"/>
        <w:szCs w:val="13"/>
      </w:rPr>
      <w:t xml:space="preserve">MD204 • Pediatrics — Shell v1.4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6C00" w:sz="6" w:space="3"/>
      </w:pBdr>
      <w:spacing w:after="28"/>
    </w:pPr>
    <w:r>
      <w:rPr>
        <w:rFonts w:ascii="Cambria" w:cs="Cambria" w:eastAsia="Cambria" w:hAnsi="Cambria"/>
        <w:b/>
        <w:bCs/>
        <w:color w:val="1976D2"/>
        <w:sz w:val="13"/>
        <w:szCs w:val="13"/>
      </w:rPr>
      <w:t xml:space="preserve">MD204 • Pediatrics — Shell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2026-10-17T16:39:53.742Z</dcterms:created>
  <dcterms:modified xsi:type="dcterms:W3CDTF">2026-10-17T16:39:53.742Z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