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15DB7" w14:textId="01D6B5B3" w:rsidR="00880AF7" w:rsidRPr="001F1551" w:rsidRDefault="004A3DB8" w:rsidP="004A3DB8">
      <w:pPr>
        <w:spacing w:line="480" w:lineRule="auto"/>
        <w:jc w:val="right"/>
        <w:rPr>
          <w:rFonts w:ascii="Times New Roman" w:hAnsi="Times New Roman" w:cs="Times New Roman"/>
          <w:sz w:val="24"/>
          <w:szCs w:val="24"/>
        </w:rPr>
      </w:pPr>
      <w:r w:rsidRPr="001F1551">
        <w:rPr>
          <w:rFonts w:ascii="Times New Roman" w:hAnsi="Times New Roman" w:cs="Times New Roman"/>
          <w:sz w:val="24"/>
          <w:szCs w:val="24"/>
        </w:rPr>
        <w:t>Matthew Groh</w:t>
      </w:r>
    </w:p>
    <w:p w14:paraId="218C93C6" w14:textId="48F91246" w:rsidR="001F1551" w:rsidRDefault="00446F79" w:rsidP="001F15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1 </w:t>
      </w:r>
      <w:r w:rsidR="004A3DB8" w:rsidRPr="001F1551">
        <w:rPr>
          <w:rFonts w:ascii="Times New Roman" w:hAnsi="Times New Roman" w:cs="Times New Roman"/>
          <w:sz w:val="24"/>
          <w:szCs w:val="24"/>
        </w:rPr>
        <w:t>Report</w:t>
      </w:r>
    </w:p>
    <w:p w14:paraId="054C4621" w14:textId="0C229CBC" w:rsidR="00446F79" w:rsidRPr="00446F79" w:rsidRDefault="00446F79" w:rsidP="00446F79">
      <w:pPr>
        <w:spacing w:line="480" w:lineRule="auto"/>
        <w:rPr>
          <w:rFonts w:ascii="Times New Roman" w:hAnsi="Times New Roman" w:cs="Times New Roman"/>
          <w:b/>
          <w:bCs/>
          <w:sz w:val="24"/>
          <w:szCs w:val="24"/>
        </w:rPr>
      </w:pPr>
      <w:r w:rsidRPr="00446F79">
        <w:rPr>
          <w:rFonts w:ascii="Times New Roman" w:hAnsi="Times New Roman" w:cs="Times New Roman"/>
          <w:b/>
          <w:bCs/>
          <w:sz w:val="24"/>
          <w:szCs w:val="24"/>
        </w:rPr>
        <w:t>Crowdfunding Goal Analysis</w:t>
      </w:r>
    </w:p>
    <w:p w14:paraId="5F724439" w14:textId="4721C891" w:rsidR="004A3DB8" w:rsidRDefault="001F1551" w:rsidP="001F1551">
      <w:pPr>
        <w:spacing w:line="480" w:lineRule="auto"/>
        <w:ind w:firstLine="720"/>
        <w:rPr>
          <w:rFonts w:ascii="Times New Roman" w:hAnsi="Times New Roman" w:cs="Times New Roman"/>
          <w:sz w:val="24"/>
          <w:szCs w:val="24"/>
        </w:rPr>
      </w:pPr>
      <w:r w:rsidRPr="001F1551">
        <w:rPr>
          <w:rFonts w:ascii="Times New Roman" w:hAnsi="Times New Roman" w:cs="Times New Roman"/>
          <w:sz w:val="24"/>
          <w:szCs w:val="24"/>
        </w:rPr>
        <w:t>Given the provided data</w:t>
      </w:r>
      <w:r>
        <w:rPr>
          <w:rFonts w:ascii="Times New Roman" w:hAnsi="Times New Roman" w:cs="Times New Roman"/>
          <w:sz w:val="24"/>
          <w:szCs w:val="24"/>
        </w:rPr>
        <w:t xml:space="preserve">, one conclusion that we can draw is that crowdfunding campaigns are more successful than not in every parent category except for games. A second conclusion is that there are far more campaigns in the sub-category of plays than in any other category, and because of this, the </w:t>
      </w:r>
      <w:r w:rsidR="00086294">
        <w:rPr>
          <w:rFonts w:ascii="Times New Roman" w:hAnsi="Times New Roman" w:cs="Times New Roman"/>
          <w:sz w:val="24"/>
          <w:szCs w:val="24"/>
        </w:rPr>
        <w:t>number</w:t>
      </w:r>
      <w:r>
        <w:rPr>
          <w:rFonts w:ascii="Times New Roman" w:hAnsi="Times New Roman" w:cs="Times New Roman"/>
          <w:sz w:val="24"/>
          <w:szCs w:val="24"/>
        </w:rPr>
        <w:t xml:space="preserve"> of both successful and unsuccessful play campaigns is more than any other sub-category. Finally, a third conclusion we can draw is that</w:t>
      </w:r>
      <w:r w:rsidR="00086294">
        <w:rPr>
          <w:rFonts w:ascii="Times New Roman" w:hAnsi="Times New Roman" w:cs="Times New Roman"/>
          <w:sz w:val="24"/>
          <w:szCs w:val="24"/>
        </w:rPr>
        <w:t xml:space="preserve"> </w:t>
      </w:r>
      <w:r w:rsidR="00B618E0">
        <w:rPr>
          <w:rFonts w:ascii="Times New Roman" w:hAnsi="Times New Roman" w:cs="Times New Roman"/>
          <w:sz w:val="24"/>
          <w:szCs w:val="24"/>
        </w:rPr>
        <w:t>most</w:t>
      </w:r>
      <w:r w:rsidR="00086294">
        <w:rPr>
          <w:rFonts w:ascii="Times New Roman" w:hAnsi="Times New Roman" w:cs="Times New Roman"/>
          <w:sz w:val="24"/>
          <w:szCs w:val="24"/>
        </w:rPr>
        <w:t xml:space="preserve"> campaigns have a funding goal either between 5,000 and 10,000 or greater than 50,000, </w:t>
      </w:r>
      <w:r w:rsidR="002D39F6">
        <w:rPr>
          <w:rFonts w:ascii="Times New Roman" w:hAnsi="Times New Roman" w:cs="Times New Roman"/>
          <w:sz w:val="24"/>
          <w:szCs w:val="24"/>
        </w:rPr>
        <w:t>and</w:t>
      </w:r>
      <w:r w:rsidR="00086294">
        <w:rPr>
          <w:rFonts w:ascii="Times New Roman" w:hAnsi="Times New Roman" w:cs="Times New Roman"/>
          <w:sz w:val="24"/>
          <w:szCs w:val="24"/>
        </w:rPr>
        <w:t xml:space="preserve"> the percentage of successful versus failed campaigns is much more even compared to nearly every other goal bracket.</w:t>
      </w:r>
    </w:p>
    <w:p w14:paraId="3C87958A" w14:textId="02992864" w:rsidR="00086294" w:rsidRDefault="002036FE" w:rsidP="001F1551">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limitation of this dataset is that it does not have a currency standard. While most of the data is shown in USD, there is also data in CAD, DKK, GBP, and likely more. Since many currencies are represented without any conversion, some metrics can be misrepresented, such as the funding goals primarily featured in the fifth sheet.</w:t>
      </w:r>
    </w:p>
    <w:p w14:paraId="34A5B20A" w14:textId="255A6708" w:rsidR="002036FE" w:rsidRDefault="002036FE" w:rsidP="001F15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A00D05">
        <w:rPr>
          <w:rFonts w:ascii="Times New Roman" w:hAnsi="Times New Roman" w:cs="Times New Roman"/>
          <w:sz w:val="24"/>
          <w:szCs w:val="24"/>
        </w:rPr>
        <w:t>new</w:t>
      </w:r>
      <w:r>
        <w:rPr>
          <w:rFonts w:ascii="Times New Roman" w:hAnsi="Times New Roman" w:cs="Times New Roman"/>
          <w:sz w:val="24"/>
          <w:szCs w:val="24"/>
        </w:rPr>
        <w:t xml:space="preserve"> graph that we could create is a comparison of the count of each outcome versus the country the campaign was in, with additional filters based on parent or sub-categories. This could provide data on where crowdfunding campaigns are most common, which categories are most prevalent in each country, and the </w:t>
      </w:r>
      <w:r w:rsidR="009723B1">
        <w:rPr>
          <w:rFonts w:ascii="Times New Roman" w:hAnsi="Times New Roman" w:cs="Times New Roman"/>
          <w:sz w:val="24"/>
          <w:szCs w:val="24"/>
        </w:rPr>
        <w:t>likelihood of a successful campaign by country based on their outcome percentages.</w:t>
      </w:r>
      <w:r>
        <w:rPr>
          <w:rFonts w:ascii="Times New Roman" w:hAnsi="Times New Roman" w:cs="Times New Roman"/>
          <w:sz w:val="24"/>
          <w:szCs w:val="24"/>
        </w:rPr>
        <w:t xml:space="preserve"> </w:t>
      </w:r>
    </w:p>
    <w:p w14:paraId="031CB51B" w14:textId="43891FD1" w:rsidR="00446F79" w:rsidRDefault="00446F79" w:rsidP="00446F79">
      <w:pPr>
        <w:spacing w:line="480" w:lineRule="auto"/>
        <w:rPr>
          <w:rFonts w:ascii="Times New Roman" w:hAnsi="Times New Roman" w:cs="Times New Roman"/>
          <w:b/>
          <w:bCs/>
          <w:sz w:val="24"/>
          <w:szCs w:val="24"/>
        </w:rPr>
      </w:pPr>
      <w:r w:rsidRPr="00446F79">
        <w:rPr>
          <w:rFonts w:ascii="Times New Roman" w:hAnsi="Times New Roman" w:cs="Times New Roman"/>
          <w:b/>
          <w:bCs/>
          <w:sz w:val="24"/>
          <w:szCs w:val="24"/>
        </w:rPr>
        <w:t>Statistical Analysis</w:t>
      </w:r>
    </w:p>
    <w:p w14:paraId="32354716" w14:textId="1906DC53" w:rsidR="00AC14F9" w:rsidRDefault="00446F79" w:rsidP="00446F79">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In this case, the me</w:t>
      </w:r>
      <w:r w:rsidR="00973E19">
        <w:rPr>
          <w:rFonts w:ascii="Times New Roman" w:hAnsi="Times New Roman" w:cs="Times New Roman"/>
          <w:sz w:val="24"/>
          <w:szCs w:val="24"/>
        </w:rPr>
        <w:t>dian</w:t>
      </w:r>
      <w:r>
        <w:rPr>
          <w:rFonts w:ascii="Times New Roman" w:hAnsi="Times New Roman" w:cs="Times New Roman"/>
          <w:sz w:val="24"/>
          <w:szCs w:val="24"/>
        </w:rPr>
        <w:t xml:space="preserve"> better summarizes the data</w:t>
      </w:r>
      <w:r w:rsidR="00973E19">
        <w:rPr>
          <w:rFonts w:ascii="Times New Roman" w:hAnsi="Times New Roman" w:cs="Times New Roman"/>
          <w:sz w:val="24"/>
          <w:szCs w:val="24"/>
        </w:rPr>
        <w:t>. While there are not heavy outliers in either data set, there is not a</w:t>
      </w:r>
      <w:r w:rsidR="0074473D">
        <w:rPr>
          <w:rFonts w:ascii="Times New Roman" w:hAnsi="Times New Roman" w:cs="Times New Roman"/>
          <w:sz w:val="24"/>
          <w:szCs w:val="24"/>
        </w:rPr>
        <w:t xml:space="preserve"> particularly</w:t>
      </w:r>
      <w:r w:rsidR="00973E19">
        <w:rPr>
          <w:rFonts w:ascii="Times New Roman" w:hAnsi="Times New Roman" w:cs="Times New Roman"/>
          <w:sz w:val="24"/>
          <w:szCs w:val="24"/>
        </w:rPr>
        <w:t xml:space="preserve"> even distribution of data across all points. In both the successful and failed campaigns, there is a higher concentration of campaigns with less than </w:t>
      </w:r>
      <w:r w:rsidR="0074473D">
        <w:rPr>
          <w:rFonts w:ascii="Times New Roman" w:hAnsi="Times New Roman" w:cs="Times New Roman"/>
          <w:sz w:val="24"/>
          <w:szCs w:val="24"/>
        </w:rPr>
        <w:t>the mean number of</w:t>
      </w:r>
      <w:r w:rsidR="00973E19">
        <w:rPr>
          <w:rFonts w:ascii="Times New Roman" w:hAnsi="Times New Roman" w:cs="Times New Roman"/>
          <w:sz w:val="24"/>
          <w:szCs w:val="24"/>
        </w:rPr>
        <w:t xml:space="preserve"> backers compared to those with more than </w:t>
      </w:r>
      <w:r w:rsidR="0074473D">
        <w:rPr>
          <w:rFonts w:ascii="Times New Roman" w:hAnsi="Times New Roman" w:cs="Times New Roman"/>
          <w:sz w:val="24"/>
          <w:szCs w:val="24"/>
        </w:rPr>
        <w:t>the mean</w:t>
      </w:r>
      <w:r w:rsidR="00973E19">
        <w:rPr>
          <w:rFonts w:ascii="Times New Roman" w:hAnsi="Times New Roman" w:cs="Times New Roman"/>
          <w:sz w:val="24"/>
          <w:szCs w:val="24"/>
        </w:rPr>
        <w:t xml:space="preserve">, and since the maximum of each category is </w:t>
      </w:r>
      <w:r w:rsidR="0074473D">
        <w:rPr>
          <w:rFonts w:ascii="Times New Roman" w:hAnsi="Times New Roman" w:cs="Times New Roman"/>
          <w:sz w:val="24"/>
          <w:szCs w:val="24"/>
        </w:rPr>
        <w:t xml:space="preserve">much </w:t>
      </w:r>
      <w:r w:rsidR="00973E19">
        <w:rPr>
          <w:rFonts w:ascii="Times New Roman" w:hAnsi="Times New Roman" w:cs="Times New Roman"/>
          <w:sz w:val="24"/>
          <w:szCs w:val="24"/>
        </w:rPr>
        <w:t xml:space="preserve">greater than </w:t>
      </w:r>
      <w:r w:rsidR="0074473D">
        <w:rPr>
          <w:rFonts w:ascii="Times New Roman" w:hAnsi="Times New Roman" w:cs="Times New Roman"/>
          <w:sz w:val="24"/>
          <w:szCs w:val="24"/>
        </w:rPr>
        <w:t>their respective means</w:t>
      </w:r>
      <w:r w:rsidR="00973E19">
        <w:rPr>
          <w:rFonts w:ascii="Times New Roman" w:hAnsi="Times New Roman" w:cs="Times New Roman"/>
          <w:sz w:val="24"/>
          <w:szCs w:val="24"/>
        </w:rPr>
        <w:t xml:space="preserve">, </w:t>
      </w:r>
      <w:r w:rsidR="0074473D">
        <w:rPr>
          <w:rFonts w:ascii="Times New Roman" w:hAnsi="Times New Roman" w:cs="Times New Roman"/>
          <w:sz w:val="24"/>
          <w:szCs w:val="24"/>
        </w:rPr>
        <w:t>using the mean would skew the data more toward the maximum, which would not best represent the data</w:t>
      </w:r>
      <w:r w:rsidR="00973E19">
        <w:rPr>
          <w:rFonts w:ascii="Times New Roman" w:hAnsi="Times New Roman" w:cs="Times New Roman"/>
          <w:sz w:val="24"/>
          <w:szCs w:val="24"/>
        </w:rPr>
        <w:t>.</w:t>
      </w:r>
    </w:p>
    <w:p w14:paraId="6D57B909" w14:textId="5093BA1D" w:rsidR="00446F79" w:rsidRPr="00446F79" w:rsidRDefault="00F87FC3" w:rsidP="00AC14F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the data, there is more variability in </w:t>
      </w:r>
      <w:r w:rsidR="00AC14F9">
        <w:rPr>
          <w:rFonts w:ascii="Times New Roman" w:hAnsi="Times New Roman" w:cs="Times New Roman"/>
          <w:sz w:val="24"/>
          <w:szCs w:val="24"/>
        </w:rPr>
        <w:t>successful</w:t>
      </w:r>
      <w:r>
        <w:rPr>
          <w:rFonts w:ascii="Times New Roman" w:hAnsi="Times New Roman" w:cs="Times New Roman"/>
          <w:sz w:val="24"/>
          <w:szCs w:val="24"/>
        </w:rPr>
        <w:t xml:space="preserve"> campaigns. </w:t>
      </w:r>
      <w:r w:rsidR="00AC14F9">
        <w:rPr>
          <w:rFonts w:ascii="Times New Roman" w:hAnsi="Times New Roman" w:cs="Times New Roman"/>
          <w:sz w:val="24"/>
          <w:szCs w:val="24"/>
        </w:rPr>
        <w:t>This does make sense because</w:t>
      </w:r>
      <w:r w:rsidR="00AF123C">
        <w:rPr>
          <w:rFonts w:ascii="Times New Roman" w:hAnsi="Times New Roman" w:cs="Times New Roman"/>
          <w:sz w:val="24"/>
          <w:szCs w:val="24"/>
        </w:rPr>
        <w:t xml:space="preserve"> between the two data sets, successful campaigns have a larger mean and maximum</w:t>
      </w:r>
      <w:r w:rsidR="001071B7">
        <w:rPr>
          <w:rFonts w:ascii="Times New Roman" w:hAnsi="Times New Roman" w:cs="Times New Roman"/>
          <w:sz w:val="24"/>
          <w:szCs w:val="24"/>
        </w:rPr>
        <w:t xml:space="preserve"> than failed campaigns. Additionally, </w:t>
      </w:r>
      <w:r w:rsidR="00AF123C">
        <w:rPr>
          <w:rFonts w:ascii="Times New Roman" w:hAnsi="Times New Roman" w:cs="Times New Roman"/>
          <w:sz w:val="24"/>
          <w:szCs w:val="24"/>
        </w:rPr>
        <w:t xml:space="preserve">the </w:t>
      </w:r>
      <w:r w:rsidR="001071B7">
        <w:rPr>
          <w:rFonts w:ascii="Times New Roman" w:hAnsi="Times New Roman" w:cs="Times New Roman"/>
          <w:sz w:val="24"/>
          <w:szCs w:val="24"/>
        </w:rPr>
        <w:t>minimum number</w:t>
      </w:r>
      <w:r w:rsidR="00AF123C">
        <w:rPr>
          <w:rFonts w:ascii="Times New Roman" w:hAnsi="Times New Roman" w:cs="Times New Roman"/>
          <w:sz w:val="24"/>
          <w:szCs w:val="24"/>
        </w:rPr>
        <w:t xml:space="preserve"> </w:t>
      </w:r>
      <w:r w:rsidR="001071B7">
        <w:rPr>
          <w:rFonts w:ascii="Times New Roman" w:hAnsi="Times New Roman" w:cs="Times New Roman"/>
          <w:sz w:val="24"/>
          <w:szCs w:val="24"/>
        </w:rPr>
        <w:t xml:space="preserve">of backers in successful campaigns </w:t>
      </w:r>
      <w:r w:rsidR="00AF123C">
        <w:rPr>
          <w:rFonts w:ascii="Times New Roman" w:hAnsi="Times New Roman" w:cs="Times New Roman"/>
          <w:sz w:val="24"/>
          <w:szCs w:val="24"/>
        </w:rPr>
        <w:t>is very close to that of failed campaigns,</w:t>
      </w:r>
      <w:r w:rsidR="001071B7">
        <w:rPr>
          <w:rFonts w:ascii="Times New Roman" w:hAnsi="Times New Roman" w:cs="Times New Roman"/>
          <w:sz w:val="24"/>
          <w:szCs w:val="24"/>
        </w:rPr>
        <w:t xml:space="preserve"> and</w:t>
      </w:r>
      <w:r w:rsidR="00AF123C">
        <w:rPr>
          <w:rFonts w:ascii="Times New Roman" w:hAnsi="Times New Roman" w:cs="Times New Roman"/>
          <w:sz w:val="24"/>
          <w:szCs w:val="24"/>
        </w:rPr>
        <w:t xml:space="preserve"> there are many more successful campaigns with backer counts closer to their maximum than failed campaigns do. </w:t>
      </w:r>
      <w:r w:rsidR="001071B7">
        <w:rPr>
          <w:rFonts w:ascii="Times New Roman" w:hAnsi="Times New Roman" w:cs="Times New Roman"/>
          <w:sz w:val="24"/>
          <w:szCs w:val="24"/>
        </w:rPr>
        <w:t>All</w:t>
      </w:r>
      <w:r w:rsidR="00AF123C">
        <w:rPr>
          <w:rFonts w:ascii="Times New Roman" w:hAnsi="Times New Roman" w:cs="Times New Roman"/>
          <w:sz w:val="24"/>
          <w:szCs w:val="24"/>
        </w:rPr>
        <w:t xml:space="preserve"> these factors contribute to successful campaigns having more variability.</w:t>
      </w:r>
    </w:p>
    <w:sectPr w:rsidR="00446F79" w:rsidRPr="0044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B8"/>
    <w:rsid w:val="00086294"/>
    <w:rsid w:val="001071B7"/>
    <w:rsid w:val="001C69D6"/>
    <w:rsid w:val="001F1551"/>
    <w:rsid w:val="002036FE"/>
    <w:rsid w:val="00213E6D"/>
    <w:rsid w:val="002D39F6"/>
    <w:rsid w:val="00446F79"/>
    <w:rsid w:val="004A3DB8"/>
    <w:rsid w:val="004D5E6E"/>
    <w:rsid w:val="0074473D"/>
    <w:rsid w:val="00880AF7"/>
    <w:rsid w:val="009723B1"/>
    <w:rsid w:val="00973E19"/>
    <w:rsid w:val="00A00D05"/>
    <w:rsid w:val="00AC14F9"/>
    <w:rsid w:val="00AF123C"/>
    <w:rsid w:val="00B618E0"/>
    <w:rsid w:val="00F8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9AB8"/>
  <w15:chartTrackingRefBased/>
  <w15:docId w15:val="{E697A387-88A9-43C5-AF9C-9CCC0D97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Groh</dc:creator>
  <cp:keywords/>
  <dc:description/>
  <cp:lastModifiedBy>Matthew Groh</cp:lastModifiedBy>
  <cp:revision>12</cp:revision>
  <dcterms:created xsi:type="dcterms:W3CDTF">2023-12-15T01:40:00Z</dcterms:created>
  <dcterms:modified xsi:type="dcterms:W3CDTF">2023-12-15T04:24:00Z</dcterms:modified>
</cp:coreProperties>
</file>