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855C" w14:textId="594AE6D8" w:rsidR="00AE09FB" w:rsidRDefault="00E70A86" w:rsidP="12E1B7F3">
      <w:pPr>
        <w:jc w:val="center"/>
        <w:rPr>
          <w:rFonts w:ascii="Arial" w:hAnsi="Arial" w:cs="Arial"/>
          <w:b/>
          <w:bCs/>
        </w:rPr>
      </w:pPr>
      <w:r w:rsidRPr="12E1B7F3">
        <w:rPr>
          <w:rFonts w:ascii="Arial" w:hAnsi="Arial" w:cs="Arial"/>
          <w:b/>
          <w:bCs/>
        </w:rPr>
        <w:t xml:space="preserve">CPP </w:t>
      </w:r>
      <w:r w:rsidR="00FC2A52" w:rsidRPr="12E1B7F3">
        <w:rPr>
          <w:rFonts w:ascii="Arial" w:hAnsi="Arial" w:cs="Arial"/>
          <w:b/>
          <w:bCs/>
        </w:rPr>
        <w:t xml:space="preserve">Conflict of Interest </w:t>
      </w:r>
      <w:r w:rsidR="00CF5282" w:rsidRPr="12E1B7F3">
        <w:rPr>
          <w:rFonts w:ascii="Arial" w:hAnsi="Arial" w:cs="Arial"/>
          <w:b/>
          <w:bCs/>
        </w:rPr>
        <w:t xml:space="preserve">(COI) </w:t>
      </w:r>
      <w:r w:rsidR="0032758F" w:rsidRPr="12E1B7F3">
        <w:rPr>
          <w:rFonts w:ascii="Arial" w:hAnsi="Arial" w:cs="Arial"/>
          <w:b/>
          <w:bCs/>
        </w:rPr>
        <w:t xml:space="preserve">Policy for </w:t>
      </w:r>
      <w:r w:rsidR="00780DE4" w:rsidRPr="12E1B7F3">
        <w:rPr>
          <w:rFonts w:ascii="Arial" w:hAnsi="Arial" w:cs="Arial"/>
          <w:b/>
          <w:bCs/>
        </w:rPr>
        <w:t>Task Force Participation</w:t>
      </w:r>
    </w:p>
    <w:p w14:paraId="622CC969" w14:textId="5B135200" w:rsidR="000B144E" w:rsidRDefault="000B144E" w:rsidP="00713D24">
      <w:pPr>
        <w:jc w:val="center"/>
        <w:rPr>
          <w:rFonts w:ascii="Arial" w:hAnsi="Arial" w:cs="Arial"/>
          <w:b/>
        </w:rPr>
      </w:pPr>
      <w:r>
        <w:rPr>
          <w:rFonts w:ascii="Arial" w:hAnsi="Arial" w:cs="Arial"/>
          <w:b/>
        </w:rPr>
        <w:t>Disclosure of Relationships with Industry and Other Entities</w:t>
      </w:r>
    </w:p>
    <w:p w14:paraId="511EE122" w14:textId="77777777" w:rsidR="00F57B5A" w:rsidRPr="005E5A53" w:rsidRDefault="00F57B5A">
      <w:pPr>
        <w:rPr>
          <w:rFonts w:ascii="Arial" w:hAnsi="Arial" w:cs="Arial"/>
        </w:rPr>
      </w:pPr>
    </w:p>
    <w:p w14:paraId="28AFC812" w14:textId="7DB82796" w:rsidR="00F57B5A" w:rsidRPr="005E5A53" w:rsidRDefault="007C57AF">
      <w:pPr>
        <w:rPr>
          <w:rFonts w:ascii="Arial" w:hAnsi="Arial" w:cs="Arial"/>
        </w:rPr>
      </w:pPr>
      <w:bookmarkStart w:id="0" w:name="_Hlk63341722"/>
      <w:r w:rsidRPr="005E5A53">
        <w:rPr>
          <w:rFonts w:ascii="Arial" w:hAnsi="Arial" w:cs="Arial"/>
        </w:rPr>
        <w:t>Task F</w:t>
      </w:r>
      <w:r w:rsidR="00F57B5A" w:rsidRPr="005E5A53">
        <w:rPr>
          <w:rFonts w:ascii="Arial" w:hAnsi="Arial" w:cs="Arial"/>
        </w:rPr>
        <w:t>orce members must disclos</w:t>
      </w:r>
      <w:r w:rsidR="00780DE4" w:rsidRPr="005E5A53">
        <w:rPr>
          <w:rFonts w:ascii="Arial" w:hAnsi="Arial" w:cs="Arial"/>
        </w:rPr>
        <w:t>e</w:t>
      </w:r>
      <w:r w:rsidR="00F57B5A" w:rsidRPr="005E5A53">
        <w:rPr>
          <w:rFonts w:ascii="Arial" w:hAnsi="Arial" w:cs="Arial"/>
        </w:rPr>
        <w:t xml:space="preserve"> all personal and immediate household member</w:t>
      </w:r>
      <w:r w:rsidR="00A36BC8" w:rsidRPr="005E5A53">
        <w:rPr>
          <w:rStyle w:val="FootnoteReference"/>
          <w:rFonts w:ascii="Arial" w:hAnsi="Arial" w:cs="Arial"/>
        </w:rPr>
        <w:footnoteReference w:id="2"/>
      </w:r>
      <w:r w:rsidR="00F57B5A" w:rsidRPr="005E5A53">
        <w:rPr>
          <w:rFonts w:ascii="Arial" w:hAnsi="Arial" w:cs="Arial"/>
        </w:rPr>
        <w:t xml:space="preserve"> </w:t>
      </w:r>
      <w:bookmarkEnd w:id="0"/>
      <w:r w:rsidR="002F6DBE" w:rsidRPr="005E5A53">
        <w:rPr>
          <w:rFonts w:ascii="Arial" w:hAnsi="Arial" w:cs="Arial"/>
        </w:rPr>
        <w:t>relationships with industry</w:t>
      </w:r>
      <w:r w:rsidR="009A4BD5">
        <w:rPr>
          <w:rStyle w:val="FootnoteReference"/>
          <w:rFonts w:ascii="Arial" w:hAnsi="Arial" w:cs="Arial"/>
        </w:rPr>
        <w:footnoteReference w:id="3"/>
      </w:r>
      <w:r w:rsidR="002F6DBE" w:rsidRPr="005E5A53">
        <w:rPr>
          <w:rFonts w:ascii="Arial" w:hAnsi="Arial" w:cs="Arial"/>
        </w:rPr>
        <w:t xml:space="preserve"> and other entities</w:t>
      </w:r>
      <w:r w:rsidR="001F0F74">
        <w:rPr>
          <w:rStyle w:val="FootnoteReference"/>
          <w:rFonts w:ascii="Arial" w:hAnsi="Arial" w:cs="Arial"/>
        </w:rPr>
        <w:footnoteReference w:id="4"/>
      </w:r>
      <w:r w:rsidR="002F6DBE">
        <w:rPr>
          <w:rFonts w:ascii="Arial" w:hAnsi="Arial" w:cs="Arial"/>
        </w:rPr>
        <w:t xml:space="preserve"> as described below</w:t>
      </w:r>
      <w:r w:rsidR="00F57B5A" w:rsidRPr="005E5A53">
        <w:rPr>
          <w:rFonts w:ascii="Arial" w:hAnsi="Arial" w:cs="Arial"/>
        </w:rPr>
        <w:t xml:space="preserve">. </w:t>
      </w:r>
    </w:p>
    <w:p w14:paraId="7A9B1188" w14:textId="77777777" w:rsidR="00F57B5A" w:rsidRPr="005E5A53" w:rsidRDefault="00F57B5A">
      <w:pPr>
        <w:rPr>
          <w:rFonts w:ascii="Arial" w:hAnsi="Arial" w:cs="Arial"/>
        </w:rPr>
      </w:pPr>
    </w:p>
    <w:p w14:paraId="29FC9B0C" w14:textId="112B0A82" w:rsidR="00F57B5A" w:rsidRPr="005E5A53" w:rsidRDefault="00F57B5A">
      <w:pPr>
        <w:rPr>
          <w:rFonts w:ascii="Arial" w:hAnsi="Arial" w:cs="Arial"/>
        </w:rPr>
      </w:pPr>
      <w:r w:rsidRPr="005E5A53">
        <w:rPr>
          <w:rFonts w:ascii="Arial" w:hAnsi="Arial" w:cs="Arial"/>
        </w:rPr>
        <w:t>Disclosures must be made for the 3</w:t>
      </w:r>
      <w:r w:rsidR="00E17307" w:rsidRPr="005E5A53">
        <w:rPr>
          <w:rFonts w:ascii="Arial" w:hAnsi="Arial" w:cs="Arial"/>
        </w:rPr>
        <w:t>-</w:t>
      </w:r>
      <w:r w:rsidRPr="005E5A53">
        <w:rPr>
          <w:rFonts w:ascii="Arial" w:hAnsi="Arial" w:cs="Arial"/>
        </w:rPr>
        <w:t xml:space="preserve">year period prior to the first meeting of the Task </w:t>
      </w:r>
      <w:r w:rsidR="00BC4B53" w:rsidRPr="002D22EF">
        <w:rPr>
          <w:rFonts w:ascii="Arial" w:hAnsi="Arial" w:cs="Arial"/>
        </w:rPr>
        <w:t xml:space="preserve">Force, and yearly until one year after </w:t>
      </w:r>
      <w:r w:rsidRPr="002D22EF">
        <w:rPr>
          <w:rFonts w:ascii="Arial" w:hAnsi="Arial" w:cs="Arial"/>
        </w:rPr>
        <w:t xml:space="preserve">publication of the Practice Parameter. </w:t>
      </w:r>
      <w:r w:rsidR="008B0815" w:rsidRPr="002D22EF">
        <w:rPr>
          <w:rFonts w:ascii="Arial" w:hAnsi="Arial" w:cs="Arial"/>
        </w:rPr>
        <w:t>Task</w:t>
      </w:r>
      <w:r w:rsidR="008B0815" w:rsidRPr="005E5A53">
        <w:rPr>
          <w:rFonts w:ascii="Arial" w:hAnsi="Arial" w:cs="Arial"/>
        </w:rPr>
        <w:t xml:space="preserve"> Force members are requested to avoid</w:t>
      </w:r>
      <w:r w:rsidR="00E17307" w:rsidRPr="005E5A53">
        <w:rPr>
          <w:rFonts w:ascii="Arial" w:hAnsi="Arial" w:cs="Arial"/>
        </w:rPr>
        <w:t>, to the extent possible,</w:t>
      </w:r>
      <w:r w:rsidR="008B0815" w:rsidRPr="005E5A53">
        <w:rPr>
          <w:rFonts w:ascii="Arial" w:hAnsi="Arial" w:cs="Arial"/>
        </w:rPr>
        <w:t xml:space="preserve"> </w:t>
      </w:r>
      <w:r w:rsidR="00780DE4" w:rsidRPr="005E5A53">
        <w:rPr>
          <w:rFonts w:ascii="Arial" w:hAnsi="Arial" w:cs="Arial"/>
        </w:rPr>
        <w:t>c</w:t>
      </w:r>
      <w:r w:rsidRPr="005E5A53">
        <w:rPr>
          <w:rFonts w:ascii="Arial" w:hAnsi="Arial" w:cs="Arial"/>
        </w:rPr>
        <w:t xml:space="preserve">hanges </w:t>
      </w:r>
      <w:r w:rsidR="00B946D9" w:rsidRPr="005E5A53">
        <w:rPr>
          <w:rFonts w:ascii="Arial" w:hAnsi="Arial" w:cs="Arial"/>
        </w:rPr>
        <w:t xml:space="preserve">related to conflicts </w:t>
      </w:r>
      <w:r w:rsidR="00E17307" w:rsidRPr="005E5A53">
        <w:rPr>
          <w:rFonts w:ascii="Arial" w:hAnsi="Arial" w:cs="Arial"/>
        </w:rPr>
        <w:t>from the time of appointment to the Task Force until publication of the Practice Parameter. They</w:t>
      </w:r>
      <w:r w:rsidR="00B14DB8" w:rsidRPr="005E5A53">
        <w:rPr>
          <w:rFonts w:ascii="Arial" w:hAnsi="Arial" w:cs="Arial"/>
        </w:rPr>
        <w:t xml:space="preserve"> </w:t>
      </w:r>
      <w:r w:rsidRPr="005E5A53">
        <w:rPr>
          <w:rFonts w:ascii="Arial" w:hAnsi="Arial" w:cs="Arial"/>
        </w:rPr>
        <w:t xml:space="preserve">must verbally disclose </w:t>
      </w:r>
      <w:r w:rsidR="399F7C64" w:rsidRPr="005E5A53">
        <w:rPr>
          <w:rFonts w:ascii="Arial" w:hAnsi="Arial" w:cs="Arial"/>
        </w:rPr>
        <w:t>any</w:t>
      </w:r>
      <w:r w:rsidR="6448C6A0" w:rsidRPr="005E5A53">
        <w:rPr>
          <w:rFonts w:ascii="Arial" w:hAnsi="Arial" w:cs="Arial"/>
        </w:rPr>
        <w:t xml:space="preserve"> relevant </w:t>
      </w:r>
      <w:r w:rsidR="00E35D00">
        <w:rPr>
          <w:rFonts w:ascii="Arial" w:hAnsi="Arial" w:cs="Arial"/>
        </w:rPr>
        <w:t>relations</w:t>
      </w:r>
      <w:r w:rsidR="0035291C">
        <w:rPr>
          <w:rFonts w:ascii="Arial" w:hAnsi="Arial" w:cs="Arial"/>
        </w:rPr>
        <w:t>hip</w:t>
      </w:r>
      <w:r w:rsidR="0012485C">
        <w:rPr>
          <w:rFonts w:ascii="Arial" w:hAnsi="Arial" w:cs="Arial"/>
        </w:rPr>
        <w:t>s</w:t>
      </w:r>
      <w:r w:rsidR="00E35D00" w:rsidRPr="005E5A53">
        <w:rPr>
          <w:rFonts w:ascii="Arial" w:hAnsi="Arial" w:cs="Arial"/>
        </w:rPr>
        <w:t xml:space="preserve"> </w:t>
      </w:r>
      <w:r w:rsidRPr="005E5A53">
        <w:rPr>
          <w:rFonts w:ascii="Arial" w:hAnsi="Arial" w:cs="Arial"/>
        </w:rPr>
        <w:t xml:space="preserve">at the beginning of all conference calls and meetings. </w:t>
      </w:r>
      <w:r w:rsidR="008B0815" w:rsidRPr="005E5A53">
        <w:rPr>
          <w:rFonts w:ascii="Arial" w:hAnsi="Arial" w:cs="Arial"/>
        </w:rPr>
        <w:t xml:space="preserve">Employees of industry, part-time or full-time, are prohibited from serving on a Task Force. </w:t>
      </w:r>
    </w:p>
    <w:p w14:paraId="5AD4F2F3" w14:textId="77777777" w:rsidR="00F57B5A" w:rsidRPr="005E5A53" w:rsidRDefault="00F57B5A">
      <w:pPr>
        <w:rPr>
          <w:rFonts w:ascii="Arial" w:hAnsi="Arial" w:cs="Arial"/>
        </w:rPr>
      </w:pPr>
    </w:p>
    <w:p w14:paraId="36793B14" w14:textId="016967FD" w:rsidR="00F57B5A" w:rsidRDefault="00F57B5A">
      <w:pPr>
        <w:rPr>
          <w:rFonts w:ascii="Arial" w:hAnsi="Arial" w:cs="Arial"/>
          <w:b/>
        </w:rPr>
      </w:pPr>
      <w:r w:rsidRPr="005E5A53">
        <w:rPr>
          <w:rFonts w:ascii="Arial" w:hAnsi="Arial" w:cs="Arial"/>
          <w:b/>
        </w:rPr>
        <w:t xml:space="preserve">Relationship </w:t>
      </w:r>
      <w:r w:rsidR="003F71B5">
        <w:rPr>
          <w:rFonts w:ascii="Arial" w:hAnsi="Arial" w:cs="Arial"/>
          <w:b/>
        </w:rPr>
        <w:t>T</w:t>
      </w:r>
      <w:r w:rsidRPr="005E5A53">
        <w:rPr>
          <w:rFonts w:ascii="Arial" w:hAnsi="Arial" w:cs="Arial"/>
          <w:b/>
        </w:rPr>
        <w:t>ypes</w:t>
      </w:r>
    </w:p>
    <w:p w14:paraId="43C6F4E8" w14:textId="77777777" w:rsidR="005B0D11" w:rsidRPr="005E5A53" w:rsidRDefault="005B0D11">
      <w:pPr>
        <w:rPr>
          <w:rFonts w:ascii="Arial" w:hAnsi="Arial" w:cs="Arial"/>
          <w:b/>
        </w:rPr>
      </w:pPr>
    </w:p>
    <w:p w14:paraId="15FD7784" w14:textId="642EF315" w:rsidR="00BA6DA5" w:rsidRDefault="00F57B5A" w:rsidP="00D67667">
      <w:pPr>
        <w:pStyle w:val="ListParagraph"/>
        <w:numPr>
          <w:ilvl w:val="0"/>
          <w:numId w:val="7"/>
        </w:numPr>
        <w:rPr>
          <w:rFonts w:ascii="Arial" w:hAnsi="Arial" w:cs="Arial"/>
        </w:rPr>
      </w:pPr>
      <w:r w:rsidRPr="002A62CA">
        <w:rPr>
          <w:rFonts w:ascii="Arial" w:hAnsi="Arial" w:cs="Arial"/>
          <w:u w:val="single"/>
        </w:rPr>
        <w:t>Consultant:</w:t>
      </w:r>
      <w:r w:rsidRPr="002A62CA">
        <w:rPr>
          <w:rFonts w:ascii="Arial" w:hAnsi="Arial" w:cs="Arial"/>
        </w:rPr>
        <w:t xml:space="preserve"> </w:t>
      </w:r>
      <w:r w:rsidR="00BA6DA5" w:rsidRPr="002A62CA">
        <w:rPr>
          <w:rFonts w:ascii="Arial" w:hAnsi="Arial" w:cs="Arial"/>
        </w:rPr>
        <w:t>Relationships for which honoraria are received from private</w:t>
      </w:r>
      <w:r w:rsidR="007F6B91" w:rsidRPr="002A62CA">
        <w:rPr>
          <w:rFonts w:ascii="Arial" w:hAnsi="Arial" w:cs="Arial"/>
        </w:rPr>
        <w:t>-</w:t>
      </w:r>
      <w:r w:rsidR="00BA6DA5" w:rsidRPr="002A62CA">
        <w:rPr>
          <w:rFonts w:ascii="Arial" w:hAnsi="Arial" w:cs="Arial"/>
        </w:rPr>
        <w:t>sector payers, pharmaceutical, device, or other mission-related companies</w:t>
      </w:r>
      <w:r w:rsidR="00A3122D" w:rsidRPr="002A62CA">
        <w:rPr>
          <w:rFonts w:ascii="Arial" w:hAnsi="Arial" w:cs="Arial"/>
        </w:rPr>
        <w:t>;</w:t>
      </w:r>
      <w:r w:rsidR="00BA6DA5" w:rsidRPr="002A62CA">
        <w:rPr>
          <w:rFonts w:ascii="Arial" w:hAnsi="Arial" w:cs="Arial"/>
        </w:rPr>
        <w:t xml:space="preserve"> gifts or other consideration</w:t>
      </w:r>
      <w:r w:rsidR="005B0D11" w:rsidRPr="002A62CA">
        <w:rPr>
          <w:rFonts w:ascii="Arial" w:hAnsi="Arial" w:cs="Arial"/>
        </w:rPr>
        <w:t>;</w:t>
      </w:r>
      <w:r w:rsidR="00BA6DA5" w:rsidRPr="002A62CA">
        <w:rPr>
          <w:rFonts w:ascii="Arial" w:hAnsi="Arial" w:cs="Arial"/>
        </w:rPr>
        <w:t xml:space="preserve"> or “in kind” compensation, for consulting, lecturing, traveling, service</w:t>
      </w:r>
      <w:r w:rsidR="00D67667">
        <w:rPr>
          <w:rFonts w:ascii="Arial" w:hAnsi="Arial" w:cs="Arial"/>
        </w:rPr>
        <w:t xml:space="preserve"> on advisory boards, including f</w:t>
      </w:r>
      <w:r w:rsidR="00BA6DA5" w:rsidRPr="002A62CA">
        <w:rPr>
          <w:rFonts w:ascii="Arial" w:hAnsi="Arial" w:cs="Arial"/>
        </w:rPr>
        <w:t xml:space="preserve">ederal, state, or local government agencies such as </w:t>
      </w:r>
      <w:r w:rsidR="00741B20">
        <w:rPr>
          <w:rFonts w:ascii="Arial" w:hAnsi="Arial" w:cs="Arial"/>
        </w:rPr>
        <w:t xml:space="preserve">the </w:t>
      </w:r>
      <w:r w:rsidR="00BA6DA5" w:rsidRPr="002A62CA">
        <w:rPr>
          <w:rFonts w:ascii="Arial" w:hAnsi="Arial" w:cs="Arial"/>
        </w:rPr>
        <w:t>C</w:t>
      </w:r>
      <w:r w:rsidR="00741B20">
        <w:rPr>
          <w:rFonts w:ascii="Arial" w:hAnsi="Arial" w:cs="Arial"/>
        </w:rPr>
        <w:t>enter</w:t>
      </w:r>
      <w:r w:rsidR="003410ED">
        <w:rPr>
          <w:rFonts w:ascii="Arial" w:hAnsi="Arial" w:cs="Arial"/>
        </w:rPr>
        <w:t xml:space="preserve">s for </w:t>
      </w:r>
      <w:r w:rsidR="00741B20">
        <w:rPr>
          <w:rFonts w:ascii="Arial" w:hAnsi="Arial" w:cs="Arial"/>
        </w:rPr>
        <w:t xml:space="preserve">Medicare </w:t>
      </w:r>
      <w:r w:rsidR="003410ED">
        <w:rPr>
          <w:rFonts w:ascii="Arial" w:hAnsi="Arial" w:cs="Arial"/>
        </w:rPr>
        <w:t xml:space="preserve">&amp; Medicaid </w:t>
      </w:r>
      <w:r w:rsidR="00741B20">
        <w:rPr>
          <w:rFonts w:ascii="Arial" w:hAnsi="Arial" w:cs="Arial"/>
        </w:rPr>
        <w:t>Services</w:t>
      </w:r>
      <w:r w:rsidR="00BA6DA5" w:rsidRPr="002A62CA">
        <w:rPr>
          <w:rFonts w:ascii="Arial" w:hAnsi="Arial" w:cs="Arial"/>
        </w:rPr>
        <w:t xml:space="preserve"> or </w:t>
      </w:r>
      <w:r w:rsidR="00741B20">
        <w:rPr>
          <w:rFonts w:ascii="Arial" w:hAnsi="Arial" w:cs="Arial"/>
        </w:rPr>
        <w:t xml:space="preserve">the </w:t>
      </w:r>
      <w:r w:rsidR="00D67667">
        <w:rPr>
          <w:rFonts w:ascii="Arial" w:hAnsi="Arial" w:cs="Arial"/>
        </w:rPr>
        <w:t xml:space="preserve">U.S. </w:t>
      </w:r>
      <w:r w:rsidR="00BA6DA5" w:rsidRPr="002A62CA">
        <w:rPr>
          <w:rFonts w:ascii="Arial" w:hAnsi="Arial" w:cs="Arial"/>
        </w:rPr>
        <w:t>F</w:t>
      </w:r>
      <w:r w:rsidR="00D67667">
        <w:rPr>
          <w:rFonts w:ascii="Arial" w:hAnsi="Arial" w:cs="Arial"/>
        </w:rPr>
        <w:t>ood and</w:t>
      </w:r>
      <w:r w:rsidR="00741B20">
        <w:rPr>
          <w:rFonts w:ascii="Arial" w:hAnsi="Arial" w:cs="Arial"/>
        </w:rPr>
        <w:t xml:space="preserve"> </w:t>
      </w:r>
      <w:r w:rsidR="00BA6DA5" w:rsidRPr="002A62CA">
        <w:rPr>
          <w:rFonts w:ascii="Arial" w:hAnsi="Arial" w:cs="Arial"/>
        </w:rPr>
        <w:t>D</w:t>
      </w:r>
      <w:r w:rsidR="00741B20">
        <w:rPr>
          <w:rFonts w:ascii="Arial" w:hAnsi="Arial" w:cs="Arial"/>
        </w:rPr>
        <w:t xml:space="preserve">rug </w:t>
      </w:r>
      <w:r w:rsidR="00BA6DA5" w:rsidRPr="002A62CA">
        <w:rPr>
          <w:rFonts w:ascii="Arial" w:hAnsi="Arial" w:cs="Arial"/>
        </w:rPr>
        <w:t>A</w:t>
      </w:r>
      <w:r w:rsidR="00741B20">
        <w:rPr>
          <w:rFonts w:ascii="Arial" w:hAnsi="Arial" w:cs="Arial"/>
        </w:rPr>
        <w:t>dministration</w:t>
      </w:r>
      <w:r w:rsidR="00D67667">
        <w:rPr>
          <w:rFonts w:ascii="Arial" w:hAnsi="Arial" w:cs="Arial"/>
        </w:rPr>
        <w:t>.</w:t>
      </w:r>
    </w:p>
    <w:p w14:paraId="33B65EFF" w14:textId="77777777" w:rsidR="00D67667" w:rsidRPr="00D67667" w:rsidRDefault="00D67667" w:rsidP="00D67667">
      <w:pPr>
        <w:pStyle w:val="ListParagraph"/>
        <w:rPr>
          <w:rFonts w:ascii="Arial" w:hAnsi="Arial" w:cs="Arial"/>
        </w:rPr>
      </w:pPr>
    </w:p>
    <w:p w14:paraId="53CFC229" w14:textId="720CA554" w:rsidR="009F4E1E" w:rsidRDefault="00BA6DA5" w:rsidP="002A62CA">
      <w:pPr>
        <w:pStyle w:val="ListParagraph"/>
        <w:numPr>
          <w:ilvl w:val="0"/>
          <w:numId w:val="7"/>
        </w:numPr>
        <w:rPr>
          <w:rFonts w:ascii="Arial" w:hAnsi="Arial" w:cs="Arial"/>
        </w:rPr>
      </w:pPr>
      <w:r w:rsidRPr="002A62CA">
        <w:rPr>
          <w:rFonts w:ascii="Arial" w:hAnsi="Arial" w:cs="Arial"/>
          <w:u w:val="single"/>
        </w:rPr>
        <w:t>Speaker or Member of Speakers’ Bureau:</w:t>
      </w:r>
      <w:r w:rsidRPr="002A62CA">
        <w:rPr>
          <w:rFonts w:ascii="Arial" w:hAnsi="Arial" w:cs="Arial"/>
        </w:rPr>
        <w:t xml:space="preserve"> Honoraria or fees received directly from industry for lecturing. Honoraria or fees received from an accredited co</w:t>
      </w:r>
      <w:r w:rsidR="00741B20">
        <w:rPr>
          <w:rFonts w:ascii="Arial" w:hAnsi="Arial" w:cs="Arial"/>
        </w:rPr>
        <w:t>ntinuing medical education</w:t>
      </w:r>
      <w:r w:rsidRPr="002A62CA">
        <w:rPr>
          <w:rFonts w:ascii="Arial" w:hAnsi="Arial" w:cs="Arial"/>
        </w:rPr>
        <w:t xml:space="preserve"> program organized through a certified educational organization need not be disclosed. </w:t>
      </w:r>
    </w:p>
    <w:p w14:paraId="64587EE0" w14:textId="77777777" w:rsidR="009F4E1E" w:rsidRPr="009F4E1E" w:rsidRDefault="009F4E1E" w:rsidP="009F4E1E">
      <w:pPr>
        <w:pStyle w:val="ListParagraph"/>
        <w:rPr>
          <w:rFonts w:ascii="Arial" w:hAnsi="Arial" w:cs="Arial"/>
        </w:rPr>
      </w:pPr>
    </w:p>
    <w:p w14:paraId="37DEC544" w14:textId="6BB9330F" w:rsidR="00BA6DA5" w:rsidRPr="002D22EF" w:rsidRDefault="00EC0741" w:rsidP="002A62CA">
      <w:pPr>
        <w:pStyle w:val="ListParagraph"/>
        <w:numPr>
          <w:ilvl w:val="0"/>
          <w:numId w:val="7"/>
        </w:numPr>
        <w:rPr>
          <w:rFonts w:ascii="Arial" w:hAnsi="Arial" w:cs="Arial"/>
        </w:rPr>
      </w:pPr>
      <w:r w:rsidRPr="002D22EF">
        <w:rPr>
          <w:rFonts w:ascii="Arial" w:hAnsi="Arial" w:cs="Arial"/>
          <w:u w:val="single"/>
        </w:rPr>
        <w:t>Guest/Customer:</w:t>
      </w:r>
      <w:r w:rsidRPr="002D22EF">
        <w:rPr>
          <w:rFonts w:ascii="Arial" w:hAnsi="Arial" w:cs="Arial"/>
        </w:rPr>
        <w:t xml:space="preserve"> </w:t>
      </w:r>
      <w:r w:rsidR="00BA6DA5" w:rsidRPr="002D22EF">
        <w:rPr>
          <w:rFonts w:ascii="Arial" w:hAnsi="Arial" w:cs="Arial"/>
        </w:rPr>
        <w:t>Food</w:t>
      </w:r>
      <w:r w:rsidR="005B2028" w:rsidRPr="002D22EF">
        <w:rPr>
          <w:rFonts w:ascii="Arial" w:hAnsi="Arial" w:cs="Arial"/>
        </w:rPr>
        <w:t xml:space="preserve">, </w:t>
      </w:r>
      <w:r w:rsidR="00722646" w:rsidRPr="002D22EF">
        <w:rPr>
          <w:rFonts w:ascii="Arial" w:hAnsi="Arial" w:cs="Arial"/>
        </w:rPr>
        <w:t>beverage, and gifts</w:t>
      </w:r>
      <w:r w:rsidR="003E2DA0">
        <w:rPr>
          <w:rFonts w:ascii="Arial" w:hAnsi="Arial" w:cs="Arial"/>
        </w:rPr>
        <w:t xml:space="preserve"> ≥ </w:t>
      </w:r>
      <w:r w:rsidR="00BA6DA5" w:rsidRPr="002D22EF">
        <w:rPr>
          <w:rFonts w:ascii="Arial" w:hAnsi="Arial" w:cs="Arial"/>
        </w:rPr>
        <w:t>$100</w:t>
      </w:r>
      <w:r w:rsidR="009F4E1E" w:rsidRPr="002D22EF">
        <w:rPr>
          <w:rFonts w:ascii="Arial" w:hAnsi="Arial" w:cs="Arial"/>
        </w:rPr>
        <w:t>0</w:t>
      </w:r>
      <w:r w:rsidR="007C57AF" w:rsidRPr="002D22EF">
        <w:rPr>
          <w:rFonts w:ascii="Arial" w:hAnsi="Arial" w:cs="Arial"/>
        </w:rPr>
        <w:t xml:space="preserve"> </w:t>
      </w:r>
      <w:r w:rsidR="002237BA" w:rsidRPr="002D22EF">
        <w:rPr>
          <w:rFonts w:ascii="Arial" w:hAnsi="Arial" w:cs="Arial"/>
        </w:rPr>
        <w:t xml:space="preserve">annually </w:t>
      </w:r>
      <w:r w:rsidR="00F12EAE">
        <w:rPr>
          <w:rFonts w:ascii="Arial" w:hAnsi="Arial" w:cs="Arial"/>
        </w:rPr>
        <w:t>must</w:t>
      </w:r>
      <w:r w:rsidR="00BA6DA5" w:rsidRPr="002D22EF">
        <w:rPr>
          <w:rFonts w:ascii="Arial" w:hAnsi="Arial" w:cs="Arial"/>
        </w:rPr>
        <w:t xml:space="preserve"> be disclosed.</w:t>
      </w:r>
    </w:p>
    <w:p w14:paraId="78429206" w14:textId="77777777" w:rsidR="00BA6DA5" w:rsidRPr="005E5A53" w:rsidRDefault="00BA6DA5">
      <w:pPr>
        <w:rPr>
          <w:rFonts w:ascii="Arial" w:hAnsi="Arial" w:cs="Arial"/>
        </w:rPr>
      </w:pPr>
    </w:p>
    <w:p w14:paraId="2CE8E598" w14:textId="4B20B560" w:rsidR="00BA6DA5" w:rsidRPr="002A62CA" w:rsidRDefault="00BA6DA5" w:rsidP="002A62CA">
      <w:pPr>
        <w:pStyle w:val="ListParagraph"/>
        <w:numPr>
          <w:ilvl w:val="0"/>
          <w:numId w:val="7"/>
        </w:numPr>
        <w:rPr>
          <w:rFonts w:ascii="Arial" w:hAnsi="Arial" w:cs="Arial"/>
        </w:rPr>
      </w:pPr>
      <w:r w:rsidRPr="002A62CA">
        <w:rPr>
          <w:rFonts w:ascii="Arial" w:hAnsi="Arial" w:cs="Arial"/>
          <w:u w:val="single"/>
        </w:rPr>
        <w:t>Ownership/Partnership/Principal</w:t>
      </w:r>
      <w:r w:rsidRPr="002A62CA">
        <w:rPr>
          <w:rFonts w:ascii="Arial" w:hAnsi="Arial" w:cs="Arial"/>
        </w:rPr>
        <w:t xml:space="preserve">: Stock holdings, stock options, ownership, partnership, membership, or other equity positions, </w:t>
      </w:r>
      <w:proofErr w:type="gramStart"/>
      <w:r w:rsidRPr="002A62CA">
        <w:rPr>
          <w:rFonts w:ascii="Arial" w:hAnsi="Arial" w:cs="Arial"/>
        </w:rPr>
        <w:t>options</w:t>
      </w:r>
      <w:proofErr w:type="gramEnd"/>
      <w:r w:rsidRPr="002A62CA">
        <w:rPr>
          <w:rFonts w:ascii="Arial" w:hAnsi="Arial" w:cs="Arial"/>
        </w:rPr>
        <w:t xml:space="preserve"> or rights to acquire positions, rights and/or royalties in patents or other intellectual property. Ownership of interests in diversified mutual funds is excluded from this designation and need not be reported. </w:t>
      </w:r>
    </w:p>
    <w:p w14:paraId="7DBCC3F8" w14:textId="77777777" w:rsidR="00BA6DA5" w:rsidRPr="005E5A53" w:rsidRDefault="00BA6DA5">
      <w:pPr>
        <w:rPr>
          <w:rFonts w:ascii="Arial" w:hAnsi="Arial" w:cs="Arial"/>
        </w:rPr>
      </w:pPr>
    </w:p>
    <w:p w14:paraId="4DB6F36F" w14:textId="0CC9A10F" w:rsidR="00BA6DA5" w:rsidRPr="002A62CA" w:rsidRDefault="00E70A86" w:rsidP="002A62CA">
      <w:pPr>
        <w:pStyle w:val="ListParagraph"/>
        <w:numPr>
          <w:ilvl w:val="0"/>
          <w:numId w:val="7"/>
        </w:numPr>
        <w:rPr>
          <w:rFonts w:ascii="Arial" w:hAnsi="Arial" w:cs="Arial"/>
        </w:rPr>
      </w:pPr>
      <w:r w:rsidRPr="002A62CA">
        <w:rPr>
          <w:rFonts w:ascii="Arial" w:hAnsi="Arial" w:cs="Arial"/>
          <w:u w:val="single"/>
        </w:rPr>
        <w:t>Personal Research:</w:t>
      </w:r>
      <w:r w:rsidRPr="002A62CA">
        <w:rPr>
          <w:rFonts w:ascii="Arial" w:hAnsi="Arial" w:cs="Arial"/>
        </w:rPr>
        <w:t xml:space="preserve"> Roles as principal investigator (PI), co-PI, or investigator at a local, </w:t>
      </w:r>
      <w:r w:rsidR="00F70956">
        <w:rPr>
          <w:rFonts w:ascii="Arial" w:hAnsi="Arial" w:cs="Arial"/>
        </w:rPr>
        <w:t>national or international level;</w:t>
      </w:r>
      <w:r w:rsidRPr="002A62CA">
        <w:rPr>
          <w:rFonts w:ascii="Arial" w:hAnsi="Arial" w:cs="Arial"/>
        </w:rPr>
        <w:t xml:space="preserve"> steering committee member or consultant for grants pending, awarded or received (including </w:t>
      </w:r>
      <w:r w:rsidR="003E2DA0" w:rsidRPr="002A62CA">
        <w:rPr>
          <w:rFonts w:ascii="Arial" w:hAnsi="Arial" w:cs="Arial"/>
        </w:rPr>
        <w:t>commercially funded</w:t>
      </w:r>
      <w:r w:rsidRPr="002A62CA">
        <w:rPr>
          <w:rFonts w:ascii="Arial" w:hAnsi="Arial" w:cs="Arial"/>
        </w:rPr>
        <w:t>, N</w:t>
      </w:r>
      <w:r w:rsidR="00741B20">
        <w:rPr>
          <w:rFonts w:ascii="Arial" w:hAnsi="Arial" w:cs="Arial"/>
        </w:rPr>
        <w:t xml:space="preserve">ational </w:t>
      </w:r>
      <w:r w:rsidRPr="002A62CA">
        <w:rPr>
          <w:rFonts w:ascii="Arial" w:hAnsi="Arial" w:cs="Arial"/>
        </w:rPr>
        <w:t>I</w:t>
      </w:r>
      <w:r w:rsidR="00741B20">
        <w:rPr>
          <w:rFonts w:ascii="Arial" w:hAnsi="Arial" w:cs="Arial"/>
        </w:rPr>
        <w:t xml:space="preserve">nstitutes of </w:t>
      </w:r>
      <w:r w:rsidRPr="002A62CA">
        <w:rPr>
          <w:rFonts w:ascii="Arial" w:hAnsi="Arial" w:cs="Arial"/>
        </w:rPr>
        <w:t>H</w:t>
      </w:r>
      <w:r w:rsidR="00741B20">
        <w:rPr>
          <w:rFonts w:ascii="Arial" w:hAnsi="Arial" w:cs="Arial"/>
        </w:rPr>
        <w:t>ealth</w:t>
      </w:r>
      <w:r w:rsidR="00D67667">
        <w:rPr>
          <w:rFonts w:ascii="Arial" w:hAnsi="Arial" w:cs="Arial"/>
        </w:rPr>
        <w:t xml:space="preserve"> or other f</w:t>
      </w:r>
      <w:r w:rsidRPr="002A62CA">
        <w:rPr>
          <w:rFonts w:ascii="Arial" w:hAnsi="Arial" w:cs="Arial"/>
        </w:rPr>
        <w:t xml:space="preserve">ederal agency-funded, and university-managed </w:t>
      </w:r>
      <w:r w:rsidRPr="002A62CA">
        <w:rPr>
          <w:rFonts w:ascii="Arial" w:hAnsi="Arial" w:cs="Arial"/>
        </w:rPr>
        <w:lastRenderedPageBreak/>
        <w:t>grants</w:t>
      </w:r>
      <w:r w:rsidR="00F70956">
        <w:rPr>
          <w:rFonts w:ascii="Arial" w:hAnsi="Arial" w:cs="Arial"/>
        </w:rPr>
        <w:t xml:space="preserve">); </w:t>
      </w:r>
      <w:r w:rsidRPr="002A62CA">
        <w:rPr>
          <w:rFonts w:ascii="Arial" w:hAnsi="Arial" w:cs="Arial"/>
        </w:rPr>
        <w:t>data monitoring committee</w:t>
      </w:r>
      <w:r w:rsidR="00B14DB8" w:rsidRPr="002A62CA">
        <w:rPr>
          <w:rFonts w:ascii="Arial" w:hAnsi="Arial" w:cs="Arial"/>
        </w:rPr>
        <w:t xml:space="preserve">, clinical event adjudication committee and other operational activities related to research. This includes receipt of drugs, supplies, </w:t>
      </w:r>
      <w:proofErr w:type="gramStart"/>
      <w:r w:rsidR="00B14DB8" w:rsidRPr="002A62CA">
        <w:rPr>
          <w:rFonts w:ascii="Arial" w:hAnsi="Arial" w:cs="Arial"/>
        </w:rPr>
        <w:t>equipment</w:t>
      </w:r>
      <w:proofErr w:type="gramEnd"/>
      <w:r w:rsidR="00B14DB8" w:rsidRPr="002A62CA">
        <w:rPr>
          <w:rFonts w:ascii="Arial" w:hAnsi="Arial" w:cs="Arial"/>
        </w:rPr>
        <w:t xml:space="preserve"> and other </w:t>
      </w:r>
      <w:r w:rsidR="00B946D9" w:rsidRPr="002A62CA">
        <w:rPr>
          <w:rFonts w:ascii="Arial" w:hAnsi="Arial" w:cs="Arial"/>
        </w:rPr>
        <w:t xml:space="preserve">in-kind </w:t>
      </w:r>
      <w:r w:rsidR="00B14DB8" w:rsidRPr="002A62CA">
        <w:rPr>
          <w:rFonts w:ascii="Arial" w:hAnsi="Arial" w:cs="Arial"/>
        </w:rPr>
        <w:t xml:space="preserve">support when the individual has direct decision-making responsibility for allocated resources or proceeds. This relationship should be reported by the individual even when funds are budgeted to an institution. </w:t>
      </w:r>
    </w:p>
    <w:p w14:paraId="7EA5CA5A" w14:textId="77777777" w:rsidR="00B14DB8" w:rsidRPr="005E5A53" w:rsidRDefault="00B14DB8">
      <w:pPr>
        <w:rPr>
          <w:rFonts w:ascii="Arial" w:hAnsi="Arial" w:cs="Arial"/>
        </w:rPr>
      </w:pPr>
    </w:p>
    <w:p w14:paraId="3950E784" w14:textId="3C7FCD0A" w:rsidR="00B14DB8" w:rsidRPr="002A62CA" w:rsidRDefault="00B14DB8" w:rsidP="00AA31B1">
      <w:pPr>
        <w:pStyle w:val="ListParagraph"/>
        <w:numPr>
          <w:ilvl w:val="0"/>
          <w:numId w:val="7"/>
        </w:numPr>
        <w:rPr>
          <w:rFonts w:ascii="Arial" w:hAnsi="Arial" w:cs="Arial"/>
        </w:rPr>
      </w:pPr>
      <w:r w:rsidRPr="002A62CA">
        <w:rPr>
          <w:rFonts w:ascii="Arial" w:hAnsi="Arial" w:cs="Arial"/>
          <w:u w:val="single"/>
        </w:rPr>
        <w:t>Employment or Salary Support</w:t>
      </w:r>
      <w:r w:rsidRPr="002A62CA">
        <w:rPr>
          <w:rFonts w:ascii="Arial" w:hAnsi="Arial" w:cs="Arial"/>
        </w:rPr>
        <w:t xml:space="preserve">: </w:t>
      </w:r>
      <w:r w:rsidR="007C215A" w:rsidRPr="002A62CA">
        <w:rPr>
          <w:rFonts w:ascii="Arial" w:hAnsi="Arial" w:cs="Arial"/>
        </w:rPr>
        <w:t>Full or partial employment or grant support of salary, position, or program; may also include pension or benefits received from prior employment.</w:t>
      </w:r>
    </w:p>
    <w:p w14:paraId="6FCE8080" w14:textId="77777777" w:rsidR="007C215A" w:rsidRPr="005E5A53" w:rsidRDefault="007C215A">
      <w:pPr>
        <w:rPr>
          <w:rFonts w:ascii="Arial" w:hAnsi="Arial" w:cs="Arial"/>
        </w:rPr>
      </w:pPr>
    </w:p>
    <w:p w14:paraId="6024AEA0" w14:textId="0DE9C942" w:rsidR="007C215A" w:rsidRPr="00AA31B1" w:rsidRDefault="007C215A" w:rsidP="00AA31B1">
      <w:pPr>
        <w:pStyle w:val="ListParagraph"/>
        <w:numPr>
          <w:ilvl w:val="0"/>
          <w:numId w:val="7"/>
        </w:numPr>
        <w:rPr>
          <w:rFonts w:ascii="Arial" w:hAnsi="Arial" w:cs="Arial"/>
        </w:rPr>
      </w:pPr>
      <w:r w:rsidRPr="00AA31B1">
        <w:rPr>
          <w:rFonts w:ascii="Arial" w:hAnsi="Arial" w:cs="Arial"/>
          <w:u w:val="single"/>
        </w:rPr>
        <w:t>Institutional or Organizational</w:t>
      </w:r>
      <w:r w:rsidRPr="00AA31B1">
        <w:rPr>
          <w:rFonts w:ascii="Arial" w:hAnsi="Arial" w:cs="Arial"/>
        </w:rPr>
        <w:t xml:space="preserve">: Relationships between industry and an institution or organization with which the individual is affiliated when the individual is involved in the relationship. This category includes when the funds are provided to an academic institution or organization </w:t>
      </w:r>
      <w:r w:rsidR="007D470A" w:rsidRPr="00AA31B1">
        <w:rPr>
          <w:rFonts w:ascii="Arial" w:hAnsi="Arial" w:cs="Arial"/>
        </w:rPr>
        <w:t xml:space="preserve">and </w:t>
      </w:r>
      <w:r w:rsidRPr="00AA31B1">
        <w:rPr>
          <w:rFonts w:ascii="Arial" w:hAnsi="Arial" w:cs="Arial"/>
        </w:rPr>
        <w:t xml:space="preserve">are designated for use by the individual, such as an individual participating as a coinvestigator or subsidiary investigator for which another individual is designated as the grant awardee or PI. When industry funds an institution for other purposes (e.g., to support a program or fellowship), the determining consideration is whether the reporting individual has decision-making responsibility over the funds. </w:t>
      </w:r>
    </w:p>
    <w:p w14:paraId="7A4C2157" w14:textId="77777777" w:rsidR="007C215A" w:rsidRPr="005E5A53" w:rsidRDefault="007C215A">
      <w:pPr>
        <w:rPr>
          <w:rFonts w:ascii="Arial" w:hAnsi="Arial" w:cs="Arial"/>
        </w:rPr>
      </w:pPr>
    </w:p>
    <w:p w14:paraId="55A7F20D" w14:textId="5CDAAD89" w:rsidR="007C215A" w:rsidRPr="00AA31B1" w:rsidRDefault="007C215A" w:rsidP="00EB2641">
      <w:pPr>
        <w:pStyle w:val="ListParagraph"/>
        <w:numPr>
          <w:ilvl w:val="0"/>
          <w:numId w:val="7"/>
        </w:numPr>
        <w:rPr>
          <w:rFonts w:ascii="Arial" w:hAnsi="Arial" w:cs="Arial"/>
        </w:rPr>
      </w:pPr>
      <w:r w:rsidRPr="00AA31B1">
        <w:rPr>
          <w:rFonts w:ascii="Arial" w:hAnsi="Arial" w:cs="Arial"/>
          <w:u w:val="single"/>
        </w:rPr>
        <w:t>Expert Witness</w:t>
      </w:r>
      <w:r w:rsidRPr="00AA31B1">
        <w:rPr>
          <w:rFonts w:ascii="Arial" w:hAnsi="Arial" w:cs="Arial"/>
        </w:rPr>
        <w:t xml:space="preserve">: Legal proceedings in which the individual served as a consultant, </w:t>
      </w:r>
      <w:proofErr w:type="gramStart"/>
      <w:r w:rsidRPr="00AA31B1">
        <w:rPr>
          <w:rFonts w:ascii="Arial" w:hAnsi="Arial" w:cs="Arial"/>
        </w:rPr>
        <w:t>expert</w:t>
      </w:r>
      <w:proofErr w:type="gramEnd"/>
      <w:r w:rsidRPr="00AA31B1">
        <w:rPr>
          <w:rFonts w:ascii="Arial" w:hAnsi="Arial" w:cs="Arial"/>
        </w:rPr>
        <w:t xml:space="preserve"> or deposed witness, whether compensated or uncompensated, should be disclosed, reporting the year of involvement, alignment with the plaintiff or defendant, the topic of the case/testimony, </w:t>
      </w:r>
      <w:r w:rsidR="007D470A" w:rsidRPr="00AA31B1">
        <w:rPr>
          <w:rFonts w:ascii="Arial" w:hAnsi="Arial" w:cs="Arial"/>
        </w:rPr>
        <w:t xml:space="preserve">and </w:t>
      </w:r>
      <w:r w:rsidRPr="00AA31B1">
        <w:rPr>
          <w:rFonts w:ascii="Arial" w:hAnsi="Arial" w:cs="Arial"/>
        </w:rPr>
        <w:t xml:space="preserve">whether or not the matter proceeded to trial, consistent with HIPAA </w:t>
      </w:r>
      <w:r w:rsidR="000B07C5" w:rsidRPr="00AA31B1">
        <w:rPr>
          <w:rFonts w:ascii="Arial" w:hAnsi="Arial" w:cs="Arial"/>
        </w:rPr>
        <w:t xml:space="preserve">or confidentiality agreements. </w:t>
      </w:r>
    </w:p>
    <w:p w14:paraId="26FDC8D9" w14:textId="77777777" w:rsidR="00B64A45" w:rsidRPr="005E5A53" w:rsidRDefault="00B64A45">
      <w:pPr>
        <w:rPr>
          <w:rFonts w:ascii="Arial" w:hAnsi="Arial" w:cs="Arial"/>
        </w:rPr>
      </w:pPr>
    </w:p>
    <w:p w14:paraId="4C0DBD89" w14:textId="4C404253" w:rsidR="004946A6" w:rsidRPr="002D22EF" w:rsidRDefault="004946A6" w:rsidP="00EB2641">
      <w:pPr>
        <w:pStyle w:val="ListParagraph"/>
        <w:numPr>
          <w:ilvl w:val="0"/>
          <w:numId w:val="7"/>
        </w:numPr>
        <w:rPr>
          <w:rFonts w:ascii="Arial" w:hAnsi="Arial" w:cs="Arial"/>
        </w:rPr>
      </w:pPr>
      <w:r w:rsidRPr="002D22EF">
        <w:rPr>
          <w:rFonts w:ascii="Arial" w:hAnsi="Arial" w:cs="Arial"/>
          <w:u w:val="single"/>
        </w:rPr>
        <w:t xml:space="preserve">Transmission of </w:t>
      </w:r>
      <w:r w:rsidR="002D22EF" w:rsidRPr="002D22EF">
        <w:rPr>
          <w:rFonts w:ascii="Arial" w:hAnsi="Arial" w:cs="Arial"/>
          <w:u w:val="single"/>
        </w:rPr>
        <w:t>H</w:t>
      </w:r>
      <w:r w:rsidRPr="002D22EF">
        <w:rPr>
          <w:rFonts w:ascii="Arial" w:hAnsi="Arial" w:cs="Arial"/>
          <w:u w:val="single"/>
        </w:rPr>
        <w:t>e</w:t>
      </w:r>
      <w:r w:rsidR="00ED4A73" w:rsidRPr="002D22EF">
        <w:rPr>
          <w:rFonts w:ascii="Arial" w:hAnsi="Arial" w:cs="Arial"/>
          <w:u w:val="single"/>
        </w:rPr>
        <w:t>alt</w:t>
      </w:r>
      <w:r w:rsidR="004259B5" w:rsidRPr="002D22EF">
        <w:rPr>
          <w:rFonts w:ascii="Arial" w:hAnsi="Arial" w:cs="Arial"/>
          <w:u w:val="single"/>
        </w:rPr>
        <w:t xml:space="preserve">h </w:t>
      </w:r>
      <w:r w:rsidR="002D22EF" w:rsidRPr="002D22EF">
        <w:rPr>
          <w:rFonts w:ascii="Arial" w:hAnsi="Arial" w:cs="Arial"/>
          <w:u w:val="single"/>
        </w:rPr>
        <w:t>C</w:t>
      </w:r>
      <w:r w:rsidR="004259B5" w:rsidRPr="002D22EF">
        <w:rPr>
          <w:rFonts w:ascii="Arial" w:hAnsi="Arial" w:cs="Arial"/>
          <w:u w:val="single"/>
        </w:rPr>
        <w:t xml:space="preserve">are </w:t>
      </w:r>
      <w:r w:rsidR="002D22EF" w:rsidRPr="002D22EF">
        <w:rPr>
          <w:rFonts w:ascii="Arial" w:hAnsi="Arial" w:cs="Arial"/>
          <w:u w:val="single"/>
        </w:rPr>
        <w:t>I</w:t>
      </w:r>
      <w:r w:rsidR="004259B5" w:rsidRPr="002D22EF">
        <w:rPr>
          <w:rFonts w:ascii="Arial" w:hAnsi="Arial" w:cs="Arial"/>
          <w:u w:val="single"/>
        </w:rPr>
        <w:t>nformation</w:t>
      </w:r>
      <w:r w:rsidR="004259B5" w:rsidRPr="002D22EF">
        <w:rPr>
          <w:rFonts w:ascii="Arial" w:hAnsi="Arial" w:cs="Arial"/>
        </w:rPr>
        <w:t>: Compensation for transmission of</w:t>
      </w:r>
      <w:r w:rsidRPr="002D22EF">
        <w:rPr>
          <w:rFonts w:ascii="Arial" w:hAnsi="Arial" w:cs="Arial"/>
        </w:rPr>
        <w:t xml:space="preserve"> health care information outside of </w:t>
      </w:r>
      <w:r w:rsidR="00ED4A73" w:rsidRPr="002D22EF">
        <w:rPr>
          <w:rFonts w:ascii="Arial" w:hAnsi="Arial" w:cs="Arial"/>
        </w:rPr>
        <w:t>the</w:t>
      </w:r>
      <w:r w:rsidRPr="002D22EF">
        <w:rPr>
          <w:rFonts w:ascii="Arial" w:hAnsi="Arial" w:cs="Arial"/>
        </w:rPr>
        <w:t xml:space="preserve"> primary workplace (</w:t>
      </w:r>
      <w:r w:rsidR="007E3987" w:rsidRPr="002D22EF">
        <w:rPr>
          <w:rFonts w:ascii="Arial" w:hAnsi="Arial" w:cs="Arial"/>
        </w:rPr>
        <w:t>e.g.,</w:t>
      </w:r>
      <w:r w:rsidRPr="002D22EF">
        <w:rPr>
          <w:rFonts w:ascii="Arial" w:hAnsi="Arial" w:cs="Arial"/>
        </w:rPr>
        <w:t xml:space="preserve"> </w:t>
      </w:r>
      <w:r w:rsidR="001902CB" w:rsidRPr="002D22EF">
        <w:rPr>
          <w:rFonts w:ascii="Arial" w:hAnsi="Arial" w:cs="Arial"/>
        </w:rPr>
        <w:t>authorship, editorial work</w:t>
      </w:r>
      <w:r w:rsidRPr="002D22EF">
        <w:rPr>
          <w:rFonts w:ascii="Arial" w:hAnsi="Arial" w:cs="Arial"/>
        </w:rPr>
        <w:t>)</w:t>
      </w:r>
      <w:r w:rsidR="003A040B">
        <w:rPr>
          <w:rFonts w:ascii="Arial" w:hAnsi="Arial" w:cs="Arial"/>
        </w:rPr>
        <w:t>.</w:t>
      </w:r>
    </w:p>
    <w:p w14:paraId="38B96BA1" w14:textId="77777777" w:rsidR="004946A6" w:rsidRPr="00ED4A73" w:rsidRDefault="004946A6" w:rsidP="00ED4A73">
      <w:pPr>
        <w:rPr>
          <w:rFonts w:ascii="Arial" w:hAnsi="Arial" w:cs="Arial"/>
        </w:rPr>
      </w:pPr>
    </w:p>
    <w:p w14:paraId="710EE46D" w14:textId="583D5706" w:rsidR="00B64A45" w:rsidRPr="00EB2641" w:rsidRDefault="00B64A45" w:rsidP="00EB2641">
      <w:pPr>
        <w:pStyle w:val="ListParagraph"/>
        <w:numPr>
          <w:ilvl w:val="0"/>
          <w:numId w:val="7"/>
        </w:numPr>
        <w:rPr>
          <w:rFonts w:ascii="Arial" w:hAnsi="Arial" w:cs="Arial"/>
        </w:rPr>
      </w:pPr>
      <w:r w:rsidRPr="00EB2641">
        <w:rPr>
          <w:rFonts w:ascii="Arial" w:hAnsi="Arial" w:cs="Arial"/>
          <w:u w:val="single"/>
        </w:rPr>
        <w:t>Leadership Positions in Professional Societies, Not-for-profit organizations:</w:t>
      </w:r>
      <w:r w:rsidRPr="00EB2641">
        <w:rPr>
          <w:rFonts w:ascii="Arial" w:hAnsi="Arial" w:cs="Arial"/>
        </w:rPr>
        <w:t xml:space="preserve"> Trustee, Director, Officer, Council, or </w:t>
      </w:r>
      <w:r w:rsidRPr="004259B5">
        <w:rPr>
          <w:rFonts w:ascii="Arial" w:hAnsi="Arial" w:cs="Arial"/>
        </w:rPr>
        <w:t>Committee</w:t>
      </w:r>
      <w:r w:rsidRPr="00ED4A73">
        <w:rPr>
          <w:rFonts w:ascii="Arial" w:hAnsi="Arial" w:cs="Arial"/>
          <w:color w:val="FF0000"/>
        </w:rPr>
        <w:t xml:space="preserve"> </w:t>
      </w:r>
      <w:r w:rsidR="00ED4A73" w:rsidRPr="006439F5">
        <w:rPr>
          <w:rFonts w:ascii="Arial" w:hAnsi="Arial" w:cs="Arial"/>
        </w:rPr>
        <w:t>C</w:t>
      </w:r>
      <w:r w:rsidR="004946A6" w:rsidRPr="006439F5">
        <w:rPr>
          <w:rFonts w:ascii="Arial" w:hAnsi="Arial" w:cs="Arial"/>
        </w:rPr>
        <w:t>hair</w:t>
      </w:r>
      <w:r w:rsidRPr="006439F5">
        <w:rPr>
          <w:rFonts w:ascii="Arial" w:hAnsi="Arial" w:cs="Arial"/>
        </w:rPr>
        <w:t xml:space="preserve">.  </w:t>
      </w:r>
    </w:p>
    <w:p w14:paraId="635E2142" w14:textId="77777777" w:rsidR="000B07C5" w:rsidRPr="005E5A53" w:rsidRDefault="000B07C5">
      <w:pPr>
        <w:rPr>
          <w:rFonts w:ascii="Arial" w:hAnsi="Arial" w:cs="Arial"/>
        </w:rPr>
      </w:pPr>
    </w:p>
    <w:p w14:paraId="2D2EBDF7" w14:textId="6993A021" w:rsidR="007C57AF" w:rsidRDefault="007C57AF" w:rsidP="007C57AF">
      <w:pPr>
        <w:rPr>
          <w:rFonts w:ascii="Arial" w:hAnsi="Arial" w:cs="Arial"/>
          <w:b/>
        </w:rPr>
      </w:pPr>
      <w:r w:rsidRPr="005E5A53">
        <w:rPr>
          <w:rFonts w:ascii="Arial" w:hAnsi="Arial" w:cs="Arial"/>
          <w:b/>
        </w:rPr>
        <w:t xml:space="preserve">Open Payments Data Review  </w:t>
      </w:r>
    </w:p>
    <w:p w14:paraId="5F730873" w14:textId="77777777" w:rsidR="00565ADB" w:rsidRPr="005E5A53" w:rsidRDefault="00565ADB" w:rsidP="007C57AF">
      <w:pPr>
        <w:rPr>
          <w:rFonts w:ascii="Arial" w:hAnsi="Arial" w:cs="Arial"/>
          <w:b/>
        </w:rPr>
      </w:pPr>
    </w:p>
    <w:p w14:paraId="753A702A" w14:textId="54F05A8C" w:rsidR="007C57AF" w:rsidRPr="00B77082" w:rsidRDefault="007C57AF" w:rsidP="007C57AF">
      <w:pPr>
        <w:rPr>
          <w:rFonts w:ascii="Arial" w:hAnsi="Arial" w:cs="Arial"/>
        </w:rPr>
      </w:pPr>
      <w:r w:rsidRPr="005E5A53">
        <w:rPr>
          <w:rFonts w:ascii="Arial" w:hAnsi="Arial" w:cs="Arial"/>
        </w:rPr>
        <w:t xml:space="preserve">ASA staff will review the Open Payments database maintained by the Centers for Medicare &amp; Medicaid Services for any disclosure applicable to Task Force </w:t>
      </w:r>
      <w:r w:rsidR="00254B3D">
        <w:rPr>
          <w:rFonts w:ascii="Arial" w:hAnsi="Arial" w:cs="Arial"/>
        </w:rPr>
        <w:t>m</w:t>
      </w:r>
      <w:r w:rsidRPr="005E5A53">
        <w:rPr>
          <w:rFonts w:ascii="Arial" w:hAnsi="Arial" w:cs="Arial"/>
        </w:rPr>
        <w:t xml:space="preserve">embers. This review will be conducted </w:t>
      </w:r>
      <w:r w:rsidR="003866B0" w:rsidRPr="005E5A53">
        <w:rPr>
          <w:rFonts w:ascii="Arial" w:hAnsi="Arial" w:cs="Arial"/>
        </w:rPr>
        <w:t xml:space="preserve">annually </w:t>
      </w:r>
      <w:r w:rsidR="006C7F42" w:rsidRPr="005E5A53">
        <w:rPr>
          <w:rFonts w:ascii="Arial" w:hAnsi="Arial" w:cs="Arial"/>
        </w:rPr>
        <w:t xml:space="preserve">from </w:t>
      </w:r>
      <w:r w:rsidR="003B2036">
        <w:rPr>
          <w:rFonts w:ascii="Arial" w:hAnsi="Arial" w:cs="Arial"/>
        </w:rPr>
        <w:t>T</w:t>
      </w:r>
      <w:r w:rsidR="006C7F42" w:rsidRPr="005E5A53">
        <w:rPr>
          <w:rFonts w:ascii="Arial" w:hAnsi="Arial" w:cs="Arial"/>
        </w:rPr>
        <w:t xml:space="preserve">ask </w:t>
      </w:r>
      <w:r w:rsidR="003B2036">
        <w:rPr>
          <w:rFonts w:ascii="Arial" w:hAnsi="Arial" w:cs="Arial"/>
        </w:rPr>
        <w:t>F</w:t>
      </w:r>
      <w:r w:rsidR="006C7F42" w:rsidRPr="005E5A53">
        <w:rPr>
          <w:rFonts w:ascii="Arial" w:hAnsi="Arial" w:cs="Arial"/>
        </w:rPr>
        <w:t>orce appointment</w:t>
      </w:r>
      <w:r w:rsidRPr="005E5A53">
        <w:rPr>
          <w:rFonts w:ascii="Arial" w:hAnsi="Arial" w:cs="Arial"/>
        </w:rPr>
        <w:t xml:space="preserve"> to publication </w:t>
      </w:r>
      <w:r w:rsidRPr="00B77082">
        <w:rPr>
          <w:rFonts w:ascii="Arial" w:hAnsi="Arial" w:cs="Arial"/>
        </w:rPr>
        <w:t xml:space="preserve">to identify any undisclosed relationships </w:t>
      </w:r>
      <w:r w:rsidR="007D470A" w:rsidRPr="00B77082">
        <w:rPr>
          <w:rFonts w:ascii="Arial" w:hAnsi="Arial" w:cs="Arial"/>
        </w:rPr>
        <w:t>or other inconsistencies in reporting</w:t>
      </w:r>
      <w:r w:rsidRPr="00B77082">
        <w:rPr>
          <w:rFonts w:ascii="Arial" w:hAnsi="Arial" w:cs="Arial"/>
        </w:rPr>
        <w:t xml:space="preserve">. </w:t>
      </w:r>
    </w:p>
    <w:p w14:paraId="5DEDE761" w14:textId="77777777" w:rsidR="000B07C5" w:rsidRPr="00B77082" w:rsidRDefault="000B07C5">
      <w:pPr>
        <w:rPr>
          <w:rFonts w:ascii="Arial" w:hAnsi="Arial" w:cs="Arial"/>
        </w:rPr>
      </w:pPr>
    </w:p>
    <w:p w14:paraId="0AD25247" w14:textId="1D3BB8BB" w:rsidR="000B07C5" w:rsidRDefault="000B07C5">
      <w:pPr>
        <w:rPr>
          <w:rFonts w:ascii="Arial" w:hAnsi="Arial" w:cs="Arial"/>
          <w:b/>
        </w:rPr>
      </w:pPr>
      <w:r w:rsidRPr="00B77082">
        <w:rPr>
          <w:rFonts w:ascii="Arial" w:hAnsi="Arial" w:cs="Arial"/>
          <w:b/>
        </w:rPr>
        <w:t>Relevance to Task Force Topic</w:t>
      </w:r>
      <w:r w:rsidR="00DC7B49">
        <w:rPr>
          <w:rFonts w:ascii="Arial" w:hAnsi="Arial" w:cs="Arial"/>
          <w:b/>
        </w:rPr>
        <w:t xml:space="preserve"> and Conflicts of Interest</w:t>
      </w:r>
    </w:p>
    <w:p w14:paraId="172AAF89" w14:textId="77777777" w:rsidR="00DC7B49" w:rsidRDefault="00DC7B49">
      <w:pPr>
        <w:rPr>
          <w:rFonts w:ascii="Arial" w:hAnsi="Arial" w:cs="Arial"/>
          <w:b/>
        </w:rPr>
      </w:pPr>
    </w:p>
    <w:p w14:paraId="56EF7C4B" w14:textId="4E5FAB68" w:rsidR="00DC7B49" w:rsidRDefault="00DC7B49" w:rsidP="00DC7B49">
      <w:pPr>
        <w:rPr>
          <w:rFonts w:ascii="Arial" w:hAnsi="Arial" w:cs="Arial"/>
        </w:rPr>
      </w:pPr>
      <w:r w:rsidRPr="00B77082">
        <w:rPr>
          <w:rFonts w:ascii="Arial" w:hAnsi="Arial" w:cs="Arial"/>
        </w:rPr>
        <w:t xml:space="preserve">A person has a </w:t>
      </w:r>
      <w:r>
        <w:rPr>
          <w:rFonts w:ascii="Arial" w:hAnsi="Arial" w:cs="Arial"/>
        </w:rPr>
        <w:t xml:space="preserve">relevant </w:t>
      </w:r>
      <w:r w:rsidRPr="00B77082">
        <w:rPr>
          <w:rFonts w:ascii="Arial" w:hAnsi="Arial" w:cs="Arial"/>
        </w:rPr>
        <w:t>relationship which is considered</w:t>
      </w:r>
      <w:r>
        <w:rPr>
          <w:rFonts w:ascii="Arial" w:hAnsi="Arial" w:cs="Arial"/>
        </w:rPr>
        <w:t xml:space="preserve"> a </w:t>
      </w:r>
      <w:r w:rsidRPr="00B77082">
        <w:rPr>
          <w:rFonts w:ascii="Arial" w:hAnsi="Arial" w:cs="Arial"/>
        </w:rPr>
        <w:t xml:space="preserve">conflict </w:t>
      </w:r>
      <w:r>
        <w:rPr>
          <w:rFonts w:ascii="Arial" w:hAnsi="Arial" w:cs="Arial"/>
        </w:rPr>
        <w:t>of</w:t>
      </w:r>
      <w:r w:rsidRPr="00B77082">
        <w:rPr>
          <w:rFonts w:ascii="Arial" w:hAnsi="Arial" w:cs="Arial"/>
        </w:rPr>
        <w:t xml:space="preserve"> interest </w:t>
      </w:r>
      <w:r w:rsidRPr="00532CD0">
        <w:rPr>
          <w:rFonts w:ascii="Arial" w:hAnsi="Arial" w:cs="Arial"/>
        </w:rPr>
        <w:t>when</w:t>
      </w:r>
      <w:r w:rsidRPr="00B77082">
        <w:rPr>
          <w:rFonts w:ascii="Arial" w:hAnsi="Arial" w:cs="Arial"/>
        </w:rPr>
        <w:t xml:space="preserve"> 1) the relationship or interest relates to the same or similar subject matter, intellectual </w:t>
      </w:r>
      <w:r w:rsidRPr="00B77082">
        <w:rPr>
          <w:rFonts w:ascii="Arial" w:hAnsi="Arial" w:cs="Arial"/>
        </w:rPr>
        <w:lastRenderedPageBreak/>
        <w:t xml:space="preserve">property, or asset, topic, or issue addressed by the Task Force; </w:t>
      </w:r>
      <w:r>
        <w:rPr>
          <w:rFonts w:ascii="Arial" w:hAnsi="Arial" w:cs="Arial"/>
        </w:rPr>
        <w:t xml:space="preserve">or </w:t>
      </w:r>
      <w:r w:rsidRPr="00B77082">
        <w:rPr>
          <w:rFonts w:ascii="Arial" w:hAnsi="Arial" w:cs="Arial"/>
        </w:rPr>
        <w:t>2) the company/entity with whom the relationship exists makes a drug, drug class, or device addressed by the Task Force, makes a drug or device that competes for use with a product addressed by the Task Force; or 3) the person or household member has a reasonable possibility of financial, professional, or other personal gain as a result of the issues or content addressed by the Task Force</w:t>
      </w:r>
      <w:r w:rsidRPr="00E20CCB">
        <w:t xml:space="preserve"> </w:t>
      </w:r>
      <w:r w:rsidRPr="00E20CCB">
        <w:rPr>
          <w:rFonts w:ascii="Arial" w:hAnsi="Arial" w:cs="Arial"/>
        </w:rPr>
        <w:t>–</w:t>
      </w:r>
      <w:r w:rsidRPr="00E20CCB">
        <w:t xml:space="preserve"> </w:t>
      </w:r>
      <w:r w:rsidRPr="00317B45">
        <w:rPr>
          <w:rFonts w:ascii="Arial" w:hAnsi="Arial" w:cs="Arial"/>
          <w:i/>
          <w:iCs/>
        </w:rPr>
        <w:t>and</w:t>
      </w:r>
      <w:r>
        <w:rPr>
          <w:rFonts w:ascii="Arial" w:hAnsi="Arial" w:cs="Arial"/>
          <w:b/>
          <w:bCs/>
        </w:rPr>
        <w:t xml:space="preserve"> </w:t>
      </w:r>
      <w:r w:rsidRPr="00E20CCB">
        <w:rPr>
          <w:rFonts w:ascii="Arial" w:hAnsi="Arial" w:cs="Arial"/>
        </w:rPr>
        <w:t>is judged to create a risk that a</w:t>
      </w:r>
      <w:r>
        <w:rPr>
          <w:rFonts w:ascii="Arial" w:hAnsi="Arial" w:cs="Arial"/>
        </w:rPr>
        <w:t xml:space="preserve"> relationship will </w:t>
      </w:r>
      <w:r w:rsidR="0019699A">
        <w:rPr>
          <w:rFonts w:ascii="Arial" w:hAnsi="Arial" w:cs="Arial"/>
        </w:rPr>
        <w:t xml:space="preserve">have the actual or perceived potential to </w:t>
      </w:r>
      <w:r>
        <w:rPr>
          <w:rFonts w:ascii="Arial" w:hAnsi="Arial" w:cs="Arial"/>
        </w:rPr>
        <w:t>influence a person’s judgment.</w:t>
      </w:r>
    </w:p>
    <w:p w14:paraId="43693C8F" w14:textId="6CAEC865" w:rsidR="00565ADB" w:rsidRDefault="00565ADB">
      <w:pPr>
        <w:rPr>
          <w:rFonts w:ascii="Arial" w:hAnsi="Arial" w:cs="Arial"/>
          <w:b/>
        </w:rPr>
      </w:pPr>
    </w:p>
    <w:p w14:paraId="51741A85" w14:textId="72D2062C" w:rsidR="0019699A" w:rsidRPr="009517D1" w:rsidRDefault="000B07C5" w:rsidP="0019699A">
      <w:pPr>
        <w:rPr>
          <w:rFonts w:ascii="Arial" w:hAnsi="Arial" w:cs="Arial"/>
        </w:rPr>
      </w:pPr>
      <w:r w:rsidRPr="12E1B7F3">
        <w:rPr>
          <w:rFonts w:ascii="Arial" w:hAnsi="Arial" w:cs="Arial"/>
        </w:rPr>
        <w:t xml:space="preserve">While all relationships with industry and other entities must be reported, the relationships </w:t>
      </w:r>
      <w:r w:rsidR="00B32237" w:rsidRPr="12E1B7F3">
        <w:rPr>
          <w:rFonts w:ascii="Arial" w:hAnsi="Arial" w:cs="Arial"/>
        </w:rPr>
        <w:t xml:space="preserve">will be </w:t>
      </w:r>
      <w:r w:rsidRPr="12E1B7F3">
        <w:rPr>
          <w:rFonts w:ascii="Arial" w:hAnsi="Arial" w:cs="Arial"/>
        </w:rPr>
        <w:t xml:space="preserve">evaluated </w:t>
      </w:r>
      <w:r w:rsidR="00B32237" w:rsidRPr="12E1B7F3">
        <w:rPr>
          <w:rFonts w:ascii="Arial" w:hAnsi="Arial" w:cs="Arial"/>
        </w:rPr>
        <w:t xml:space="preserve">by </w:t>
      </w:r>
      <w:bookmarkStart w:id="2" w:name="_Hlk63433387"/>
      <w:r w:rsidR="005E1E4A" w:rsidRPr="12E1B7F3">
        <w:rPr>
          <w:rFonts w:ascii="Arial" w:hAnsi="Arial" w:cs="Arial"/>
        </w:rPr>
        <w:t xml:space="preserve">the </w:t>
      </w:r>
      <w:r w:rsidR="00DC7B49" w:rsidRPr="12E1B7F3">
        <w:rPr>
          <w:rFonts w:ascii="Arial" w:hAnsi="Arial" w:cs="Arial"/>
        </w:rPr>
        <w:t>c</w:t>
      </w:r>
      <w:r w:rsidR="00713D24" w:rsidRPr="12E1B7F3">
        <w:rPr>
          <w:rFonts w:ascii="Arial" w:hAnsi="Arial" w:cs="Arial"/>
        </w:rPr>
        <w:t>hair</w:t>
      </w:r>
      <w:r w:rsidR="002F6DBE" w:rsidRPr="12E1B7F3">
        <w:rPr>
          <w:rFonts w:ascii="Arial" w:hAnsi="Arial" w:cs="Arial"/>
        </w:rPr>
        <w:t xml:space="preserve">, </w:t>
      </w:r>
      <w:r w:rsidR="005E1E4A" w:rsidRPr="12E1B7F3">
        <w:rPr>
          <w:rFonts w:ascii="Arial" w:hAnsi="Arial" w:cs="Arial"/>
        </w:rPr>
        <w:t xml:space="preserve">the </w:t>
      </w:r>
      <w:r w:rsidR="00DC7B49" w:rsidRPr="12E1B7F3">
        <w:rPr>
          <w:rFonts w:ascii="Arial" w:hAnsi="Arial" w:cs="Arial"/>
        </w:rPr>
        <w:t>vice c</w:t>
      </w:r>
      <w:r w:rsidR="0073792A" w:rsidRPr="12E1B7F3">
        <w:rPr>
          <w:rFonts w:ascii="Arial" w:hAnsi="Arial" w:cs="Arial"/>
        </w:rPr>
        <w:t>hair</w:t>
      </w:r>
      <w:r w:rsidR="002F6DBE" w:rsidRPr="12E1B7F3">
        <w:rPr>
          <w:rFonts w:ascii="Arial" w:hAnsi="Arial" w:cs="Arial"/>
        </w:rPr>
        <w:t xml:space="preserve">, and </w:t>
      </w:r>
      <w:r w:rsidR="005E1E4A" w:rsidRPr="12E1B7F3">
        <w:rPr>
          <w:rFonts w:ascii="Arial" w:hAnsi="Arial" w:cs="Arial"/>
        </w:rPr>
        <w:t xml:space="preserve">a </w:t>
      </w:r>
      <w:r w:rsidR="002F6DBE" w:rsidRPr="12E1B7F3">
        <w:rPr>
          <w:rFonts w:ascii="Arial" w:hAnsi="Arial" w:cs="Arial"/>
        </w:rPr>
        <w:t xml:space="preserve">member </w:t>
      </w:r>
      <w:r w:rsidR="00713D24" w:rsidRPr="12E1B7F3">
        <w:rPr>
          <w:rFonts w:ascii="Arial" w:hAnsi="Arial" w:cs="Arial"/>
        </w:rPr>
        <w:t>of the Committee on Practice Parameters (CPP)</w:t>
      </w:r>
      <w:r w:rsidR="0019699A" w:rsidRPr="12E1B7F3">
        <w:rPr>
          <w:rFonts w:ascii="Arial" w:hAnsi="Arial" w:cs="Arial"/>
        </w:rPr>
        <w:t xml:space="preserve"> chosen by the chair</w:t>
      </w:r>
      <w:r w:rsidR="002F6DBE" w:rsidRPr="12E1B7F3">
        <w:rPr>
          <w:rFonts w:ascii="Arial" w:hAnsi="Arial" w:cs="Arial"/>
        </w:rPr>
        <w:t>;</w:t>
      </w:r>
      <w:r w:rsidR="006C7F42" w:rsidRPr="12E1B7F3">
        <w:rPr>
          <w:rFonts w:ascii="Arial" w:hAnsi="Arial" w:cs="Arial"/>
        </w:rPr>
        <w:t xml:space="preserve"> ASA counsel</w:t>
      </w:r>
      <w:r w:rsidR="002F6DBE" w:rsidRPr="12E1B7F3">
        <w:rPr>
          <w:rFonts w:ascii="Arial" w:hAnsi="Arial" w:cs="Arial"/>
        </w:rPr>
        <w:t>;</w:t>
      </w:r>
      <w:r w:rsidR="006C7F42" w:rsidRPr="12E1B7F3">
        <w:rPr>
          <w:rFonts w:ascii="Arial" w:hAnsi="Arial" w:cs="Arial"/>
        </w:rPr>
        <w:t xml:space="preserve"> and </w:t>
      </w:r>
      <w:r w:rsidR="00866F62" w:rsidRPr="12E1B7F3">
        <w:rPr>
          <w:rFonts w:ascii="Arial" w:hAnsi="Arial" w:cs="Arial"/>
        </w:rPr>
        <w:t>methodologist</w:t>
      </w:r>
      <w:r w:rsidR="008005E6" w:rsidRPr="12E1B7F3">
        <w:rPr>
          <w:rFonts w:ascii="Arial" w:hAnsi="Arial" w:cs="Arial"/>
        </w:rPr>
        <w:t>s</w:t>
      </w:r>
      <w:r w:rsidR="00B32237" w:rsidRPr="12E1B7F3">
        <w:rPr>
          <w:rFonts w:ascii="Arial" w:hAnsi="Arial" w:cs="Arial"/>
        </w:rPr>
        <w:t xml:space="preserve"> </w:t>
      </w:r>
      <w:bookmarkEnd w:id="2"/>
      <w:r w:rsidRPr="12E1B7F3">
        <w:rPr>
          <w:rFonts w:ascii="Arial" w:hAnsi="Arial" w:cs="Arial"/>
        </w:rPr>
        <w:t xml:space="preserve">to determine </w:t>
      </w:r>
      <w:r w:rsidR="00F176EE" w:rsidRPr="12E1B7F3">
        <w:rPr>
          <w:rFonts w:ascii="Arial" w:hAnsi="Arial" w:cs="Arial"/>
        </w:rPr>
        <w:t xml:space="preserve">relevance to </w:t>
      </w:r>
      <w:r w:rsidR="00222BD1" w:rsidRPr="12E1B7F3">
        <w:rPr>
          <w:rFonts w:ascii="Arial" w:hAnsi="Arial" w:cs="Arial"/>
        </w:rPr>
        <w:t xml:space="preserve">the </w:t>
      </w:r>
      <w:r w:rsidR="00D942FD" w:rsidRPr="12E1B7F3">
        <w:rPr>
          <w:rFonts w:ascii="Arial" w:hAnsi="Arial" w:cs="Arial"/>
        </w:rPr>
        <w:t>practice parameter</w:t>
      </w:r>
      <w:r w:rsidR="00DC7B49" w:rsidRPr="12E1B7F3">
        <w:rPr>
          <w:rFonts w:ascii="Arial" w:hAnsi="Arial" w:cs="Arial"/>
        </w:rPr>
        <w:t xml:space="preserve"> and whether it is considered a conflict of interest</w:t>
      </w:r>
      <w:r w:rsidRPr="12E1B7F3">
        <w:rPr>
          <w:rFonts w:ascii="Arial" w:hAnsi="Arial" w:cs="Arial"/>
        </w:rPr>
        <w:t xml:space="preserve">. </w:t>
      </w:r>
      <w:r w:rsidR="00713D24" w:rsidRPr="12E1B7F3">
        <w:rPr>
          <w:rFonts w:ascii="Arial" w:hAnsi="Arial" w:cs="Arial"/>
        </w:rPr>
        <w:t xml:space="preserve">Task Force members are </w:t>
      </w:r>
      <w:r w:rsidR="00657FE3" w:rsidRPr="12E1B7F3">
        <w:rPr>
          <w:rFonts w:ascii="Arial" w:hAnsi="Arial" w:cs="Arial"/>
        </w:rPr>
        <w:t>requested to not add new relevant relationships</w:t>
      </w:r>
      <w:r w:rsidR="00713D24" w:rsidRPr="12E1B7F3">
        <w:rPr>
          <w:rFonts w:ascii="Arial" w:hAnsi="Arial" w:cs="Arial"/>
        </w:rPr>
        <w:t>, to the extent possible,</w:t>
      </w:r>
      <w:r w:rsidR="00657FE3" w:rsidRPr="12E1B7F3">
        <w:rPr>
          <w:rFonts w:ascii="Arial" w:hAnsi="Arial" w:cs="Arial"/>
        </w:rPr>
        <w:t xml:space="preserve"> with industry or other entities during the review and writing process. New relationships must be reported to the </w:t>
      </w:r>
      <w:r w:rsidR="00713D24" w:rsidRPr="12E1B7F3">
        <w:rPr>
          <w:rFonts w:ascii="Arial" w:hAnsi="Arial" w:cs="Arial"/>
        </w:rPr>
        <w:t xml:space="preserve">Chair of CPP and the </w:t>
      </w:r>
      <w:r w:rsidR="00657FE3" w:rsidRPr="12E1B7F3">
        <w:rPr>
          <w:rFonts w:ascii="Arial" w:hAnsi="Arial" w:cs="Arial"/>
        </w:rPr>
        <w:t>Chair</w:t>
      </w:r>
      <w:r w:rsidR="00713D24" w:rsidRPr="12E1B7F3">
        <w:rPr>
          <w:rFonts w:ascii="Arial" w:hAnsi="Arial" w:cs="Arial"/>
        </w:rPr>
        <w:t xml:space="preserve"> or Co-Chair</w:t>
      </w:r>
      <w:r w:rsidR="00657FE3" w:rsidRPr="12E1B7F3">
        <w:rPr>
          <w:rFonts w:ascii="Arial" w:hAnsi="Arial" w:cs="Arial"/>
        </w:rPr>
        <w:t xml:space="preserve"> of the Task Force</w:t>
      </w:r>
      <w:r w:rsidR="00713D24" w:rsidRPr="12E1B7F3">
        <w:rPr>
          <w:rFonts w:ascii="Arial" w:hAnsi="Arial" w:cs="Arial"/>
        </w:rPr>
        <w:t>.</w:t>
      </w:r>
      <w:r w:rsidR="00657FE3" w:rsidRPr="12E1B7F3">
        <w:rPr>
          <w:rFonts w:ascii="Arial" w:hAnsi="Arial" w:cs="Arial"/>
        </w:rPr>
        <w:t xml:space="preserve"> </w:t>
      </w:r>
      <w:r w:rsidR="0019699A" w:rsidRPr="12E1B7F3">
        <w:rPr>
          <w:rFonts w:ascii="Arial" w:hAnsi="Arial" w:cs="Arial"/>
        </w:rPr>
        <w:t xml:space="preserve">Disclosures will be retained in ASA’s conflict of interest system. </w:t>
      </w:r>
    </w:p>
    <w:p w14:paraId="41AB1FB2" w14:textId="5661D200" w:rsidR="000B07C5" w:rsidRPr="00B77082" w:rsidRDefault="000B07C5" w:rsidP="00DC7B49">
      <w:pPr>
        <w:pStyle w:val="ListParagraph"/>
        <w:ind w:left="0"/>
        <w:rPr>
          <w:rFonts w:ascii="Arial" w:hAnsi="Arial" w:cs="Arial"/>
        </w:rPr>
      </w:pPr>
    </w:p>
    <w:p w14:paraId="5CEBC874" w14:textId="77777777" w:rsidR="007C57AF" w:rsidRPr="00B77082" w:rsidRDefault="007C57AF">
      <w:pPr>
        <w:rPr>
          <w:rFonts w:ascii="Arial" w:hAnsi="Arial" w:cs="Arial"/>
        </w:rPr>
      </w:pPr>
    </w:p>
    <w:p w14:paraId="5C75ED58" w14:textId="24888C31" w:rsidR="007C57AF" w:rsidRDefault="007C57AF">
      <w:pPr>
        <w:rPr>
          <w:rFonts w:ascii="Arial" w:hAnsi="Arial" w:cs="Arial"/>
          <w:b/>
        </w:rPr>
      </w:pPr>
      <w:r w:rsidRPr="00B77082">
        <w:rPr>
          <w:rFonts w:ascii="Arial" w:hAnsi="Arial" w:cs="Arial"/>
          <w:b/>
        </w:rPr>
        <w:t>Task Force Composition</w:t>
      </w:r>
      <w:r w:rsidR="002A45F9">
        <w:rPr>
          <w:rFonts w:ascii="Arial" w:hAnsi="Arial" w:cs="Arial"/>
          <w:b/>
        </w:rPr>
        <w:t xml:space="preserve"> and </w:t>
      </w:r>
      <w:r w:rsidR="0073792A">
        <w:rPr>
          <w:rFonts w:ascii="Arial" w:hAnsi="Arial" w:cs="Arial"/>
          <w:b/>
        </w:rPr>
        <w:t>Conflicts of Interest</w:t>
      </w:r>
    </w:p>
    <w:p w14:paraId="01BB3CBB" w14:textId="77777777" w:rsidR="00E61874" w:rsidRPr="00B77082" w:rsidRDefault="00E61874">
      <w:pPr>
        <w:rPr>
          <w:rFonts w:ascii="Arial" w:hAnsi="Arial" w:cs="Arial"/>
          <w:b/>
        </w:rPr>
      </w:pPr>
    </w:p>
    <w:p w14:paraId="331F35B1" w14:textId="2828B5E8" w:rsidR="007C57AF" w:rsidRPr="00B77082" w:rsidRDefault="007C57AF" w:rsidP="00780E36">
      <w:pPr>
        <w:pStyle w:val="ListParagraph"/>
        <w:numPr>
          <w:ilvl w:val="0"/>
          <w:numId w:val="5"/>
        </w:numPr>
        <w:rPr>
          <w:rFonts w:ascii="Arial" w:hAnsi="Arial" w:cs="Arial"/>
        </w:rPr>
      </w:pPr>
      <w:r w:rsidRPr="0077165A">
        <w:rPr>
          <w:rFonts w:ascii="Arial" w:hAnsi="Arial" w:cs="Arial"/>
        </w:rPr>
        <w:t xml:space="preserve">Chair or </w:t>
      </w:r>
      <w:r w:rsidR="009122D1">
        <w:rPr>
          <w:rFonts w:ascii="Arial" w:hAnsi="Arial" w:cs="Arial"/>
        </w:rPr>
        <w:t>c</w:t>
      </w:r>
      <w:r w:rsidRPr="0077165A">
        <w:rPr>
          <w:rFonts w:ascii="Arial" w:hAnsi="Arial" w:cs="Arial"/>
        </w:rPr>
        <w:t>o-</w:t>
      </w:r>
      <w:r w:rsidR="009122D1">
        <w:rPr>
          <w:rFonts w:ascii="Arial" w:hAnsi="Arial" w:cs="Arial"/>
        </w:rPr>
        <w:t>c</w:t>
      </w:r>
      <w:r w:rsidRPr="0077165A">
        <w:rPr>
          <w:rFonts w:ascii="Arial" w:hAnsi="Arial" w:cs="Arial"/>
        </w:rPr>
        <w:t>hairs</w:t>
      </w:r>
      <w:r w:rsidRPr="00090EC2">
        <w:rPr>
          <w:rFonts w:ascii="Arial" w:hAnsi="Arial" w:cs="Arial"/>
        </w:rPr>
        <w:t>:</w:t>
      </w:r>
      <w:r w:rsidRPr="00B77082">
        <w:rPr>
          <w:rFonts w:ascii="Arial" w:hAnsi="Arial" w:cs="Arial"/>
        </w:rPr>
        <w:t xml:space="preserve"> The </w:t>
      </w:r>
      <w:r w:rsidR="00D1005F">
        <w:rPr>
          <w:rFonts w:ascii="Arial" w:hAnsi="Arial" w:cs="Arial"/>
        </w:rPr>
        <w:t>c</w:t>
      </w:r>
      <w:r w:rsidRPr="00B77082">
        <w:rPr>
          <w:rFonts w:ascii="Arial" w:hAnsi="Arial" w:cs="Arial"/>
        </w:rPr>
        <w:t xml:space="preserve">hair or </w:t>
      </w:r>
      <w:r w:rsidR="00D1005F">
        <w:rPr>
          <w:rFonts w:ascii="Arial" w:hAnsi="Arial" w:cs="Arial"/>
        </w:rPr>
        <w:t>c</w:t>
      </w:r>
      <w:r w:rsidRPr="00B77082">
        <w:rPr>
          <w:rFonts w:ascii="Arial" w:hAnsi="Arial" w:cs="Arial"/>
        </w:rPr>
        <w:t>o-</w:t>
      </w:r>
      <w:r w:rsidR="00D1005F">
        <w:rPr>
          <w:rFonts w:ascii="Arial" w:hAnsi="Arial" w:cs="Arial"/>
        </w:rPr>
        <w:t>c</w:t>
      </w:r>
      <w:r w:rsidRPr="00B77082">
        <w:rPr>
          <w:rFonts w:ascii="Arial" w:hAnsi="Arial" w:cs="Arial"/>
        </w:rPr>
        <w:t xml:space="preserve">hairs should have </w:t>
      </w:r>
      <w:bookmarkStart w:id="3" w:name="_Hlk63433047"/>
      <w:r w:rsidRPr="00B77082">
        <w:rPr>
          <w:rFonts w:ascii="Arial" w:hAnsi="Arial" w:cs="Arial"/>
        </w:rPr>
        <w:t xml:space="preserve">no </w:t>
      </w:r>
      <w:r w:rsidR="00A61BB8">
        <w:rPr>
          <w:rFonts w:ascii="Arial" w:hAnsi="Arial" w:cs="Arial"/>
        </w:rPr>
        <w:t xml:space="preserve">relevant relationships which </w:t>
      </w:r>
      <w:r w:rsidR="002D2C63">
        <w:rPr>
          <w:rFonts w:ascii="Arial" w:hAnsi="Arial" w:cs="Arial"/>
        </w:rPr>
        <w:t>are</w:t>
      </w:r>
      <w:r w:rsidR="00A61BB8">
        <w:rPr>
          <w:rFonts w:ascii="Arial" w:hAnsi="Arial" w:cs="Arial"/>
        </w:rPr>
        <w:t xml:space="preserve"> deemed a </w:t>
      </w:r>
      <w:r w:rsidR="0073792A">
        <w:rPr>
          <w:rFonts w:ascii="Arial" w:hAnsi="Arial" w:cs="Arial"/>
        </w:rPr>
        <w:t>conflict of interest</w:t>
      </w:r>
      <w:bookmarkEnd w:id="3"/>
      <w:r w:rsidR="00942796">
        <w:rPr>
          <w:rFonts w:ascii="Arial" w:hAnsi="Arial" w:cs="Arial"/>
        </w:rPr>
        <w:t>.</w:t>
      </w:r>
    </w:p>
    <w:p w14:paraId="06BAF0DA" w14:textId="7B3281EA" w:rsidR="007C57AF" w:rsidRPr="00B77082" w:rsidRDefault="007D7248" w:rsidP="00780E36">
      <w:pPr>
        <w:pStyle w:val="ListParagraph"/>
        <w:numPr>
          <w:ilvl w:val="0"/>
          <w:numId w:val="5"/>
        </w:numPr>
        <w:rPr>
          <w:rFonts w:ascii="Arial" w:hAnsi="Arial" w:cs="Arial"/>
        </w:rPr>
      </w:pPr>
      <w:r>
        <w:rPr>
          <w:rFonts w:ascii="Arial" w:hAnsi="Arial" w:cs="Arial"/>
        </w:rPr>
        <w:t>Task</w:t>
      </w:r>
      <w:r w:rsidR="008B0815" w:rsidRPr="00B77082">
        <w:rPr>
          <w:rFonts w:ascii="Arial" w:hAnsi="Arial" w:cs="Arial"/>
        </w:rPr>
        <w:t xml:space="preserve"> Force</w:t>
      </w:r>
      <w:r w:rsidR="00593E32">
        <w:rPr>
          <w:rFonts w:ascii="Arial" w:hAnsi="Arial" w:cs="Arial"/>
        </w:rPr>
        <w:t xml:space="preserve"> (</w:t>
      </w:r>
      <w:r w:rsidR="009122D1">
        <w:rPr>
          <w:rFonts w:ascii="Arial" w:hAnsi="Arial" w:cs="Arial"/>
        </w:rPr>
        <w:t>c</w:t>
      </w:r>
      <w:r w:rsidR="00593E32">
        <w:rPr>
          <w:rFonts w:ascii="Arial" w:hAnsi="Arial" w:cs="Arial"/>
        </w:rPr>
        <w:t>hair, co-chair</w:t>
      </w:r>
      <w:r w:rsidR="00EB3E80">
        <w:rPr>
          <w:rFonts w:ascii="Arial" w:hAnsi="Arial" w:cs="Arial"/>
        </w:rPr>
        <w:t xml:space="preserve">, </w:t>
      </w:r>
      <w:r w:rsidR="00F06F3E">
        <w:rPr>
          <w:rFonts w:ascii="Arial" w:hAnsi="Arial" w:cs="Arial"/>
        </w:rPr>
        <w:t>and other</w:t>
      </w:r>
      <w:r w:rsidR="00EB3E80">
        <w:rPr>
          <w:rFonts w:ascii="Arial" w:hAnsi="Arial" w:cs="Arial"/>
        </w:rPr>
        <w:t xml:space="preserve"> members)</w:t>
      </w:r>
      <w:r>
        <w:rPr>
          <w:rFonts w:ascii="Arial" w:hAnsi="Arial" w:cs="Arial"/>
        </w:rPr>
        <w:t>:</w:t>
      </w:r>
      <w:r w:rsidR="008B0815" w:rsidRPr="00B77082">
        <w:rPr>
          <w:rFonts w:ascii="Arial" w:hAnsi="Arial" w:cs="Arial"/>
        </w:rPr>
        <w:t xml:space="preserve"> </w:t>
      </w:r>
      <w:r>
        <w:rPr>
          <w:rFonts w:ascii="Arial" w:hAnsi="Arial" w:cs="Arial"/>
        </w:rPr>
        <w:t xml:space="preserve">At least half </w:t>
      </w:r>
      <w:r w:rsidR="008B0815" w:rsidRPr="00B77082">
        <w:rPr>
          <w:rFonts w:ascii="Arial" w:hAnsi="Arial" w:cs="Arial"/>
        </w:rPr>
        <w:t>must be free of</w:t>
      </w:r>
      <w:r w:rsidR="0073792A">
        <w:rPr>
          <w:rFonts w:ascii="Arial" w:hAnsi="Arial" w:cs="Arial"/>
        </w:rPr>
        <w:t xml:space="preserve"> </w:t>
      </w:r>
      <w:bookmarkStart w:id="4" w:name="_Hlk63433067"/>
      <w:r w:rsidR="0073792A">
        <w:rPr>
          <w:rFonts w:ascii="Arial" w:hAnsi="Arial" w:cs="Arial"/>
        </w:rPr>
        <w:t>conflicts of interest</w:t>
      </w:r>
      <w:bookmarkEnd w:id="4"/>
      <w:r w:rsidR="008B0815" w:rsidRPr="00B77082">
        <w:rPr>
          <w:rFonts w:ascii="Arial" w:hAnsi="Arial" w:cs="Arial"/>
        </w:rPr>
        <w:t xml:space="preserve">. </w:t>
      </w:r>
    </w:p>
    <w:p w14:paraId="137503AF" w14:textId="36D7FA89" w:rsidR="008B0815" w:rsidRDefault="008B0815">
      <w:pPr>
        <w:rPr>
          <w:rFonts w:ascii="Arial" w:hAnsi="Arial" w:cs="Arial"/>
        </w:rPr>
      </w:pPr>
    </w:p>
    <w:p w14:paraId="6FD906FE" w14:textId="08E6570E" w:rsidR="003C6DD9" w:rsidRDefault="003C6DD9" w:rsidP="003C6DD9">
      <w:pPr>
        <w:rPr>
          <w:rFonts w:ascii="Arial" w:hAnsi="Arial" w:cs="Arial"/>
          <w:b/>
          <w:bCs/>
        </w:rPr>
      </w:pPr>
      <w:r w:rsidRPr="005D10DA">
        <w:rPr>
          <w:rFonts w:ascii="Arial" w:hAnsi="Arial" w:cs="Arial"/>
          <w:b/>
          <w:bCs/>
        </w:rPr>
        <w:t>Management</w:t>
      </w:r>
      <w:r w:rsidR="009122D1">
        <w:rPr>
          <w:rFonts w:ascii="Arial" w:hAnsi="Arial" w:cs="Arial"/>
          <w:b/>
          <w:bCs/>
        </w:rPr>
        <w:t xml:space="preserve"> </w:t>
      </w:r>
      <w:r w:rsidR="009122D1" w:rsidRPr="0073792A">
        <w:rPr>
          <w:rFonts w:ascii="Arial" w:hAnsi="Arial" w:cs="Arial"/>
          <w:b/>
          <w:bCs/>
        </w:rPr>
        <w:t xml:space="preserve">of </w:t>
      </w:r>
      <w:r w:rsidR="0073792A" w:rsidRPr="0073792A">
        <w:rPr>
          <w:rFonts w:ascii="Arial" w:hAnsi="Arial" w:cs="Arial"/>
          <w:b/>
          <w:bCs/>
        </w:rPr>
        <w:t>Conflicts of Interest</w:t>
      </w:r>
    </w:p>
    <w:p w14:paraId="622B7774" w14:textId="389281FF" w:rsidR="00FB76A3" w:rsidRDefault="00FB76A3" w:rsidP="003C6DD9">
      <w:pPr>
        <w:rPr>
          <w:rFonts w:ascii="Arial" w:hAnsi="Arial" w:cs="Arial"/>
          <w:b/>
          <w:bCs/>
        </w:rPr>
      </w:pPr>
    </w:p>
    <w:p w14:paraId="6791D9D8" w14:textId="142517B0" w:rsidR="00FB76A3" w:rsidRDefault="00AD678E" w:rsidP="003C6DD9">
      <w:pPr>
        <w:rPr>
          <w:rFonts w:ascii="Arial" w:hAnsi="Arial" w:cs="Arial"/>
        </w:rPr>
      </w:pPr>
      <w:r>
        <w:rPr>
          <w:rFonts w:ascii="Arial" w:hAnsi="Arial" w:cs="Arial"/>
        </w:rPr>
        <w:t>For determining eligibility to draft</w:t>
      </w:r>
      <w:r w:rsidR="00C020B2">
        <w:rPr>
          <w:rFonts w:ascii="Arial" w:hAnsi="Arial" w:cs="Arial"/>
        </w:rPr>
        <w:t xml:space="preserve"> and vote on recommendations, the </w:t>
      </w:r>
      <w:r w:rsidR="00DC747F">
        <w:rPr>
          <w:rFonts w:ascii="Arial" w:hAnsi="Arial" w:cs="Arial"/>
        </w:rPr>
        <w:t>following considerations apply to</w:t>
      </w:r>
      <w:r w:rsidR="00422FBA">
        <w:rPr>
          <w:rFonts w:ascii="Arial" w:hAnsi="Arial" w:cs="Arial"/>
        </w:rPr>
        <w:t xml:space="preserve"> </w:t>
      </w:r>
      <w:r w:rsidR="00820CF1">
        <w:rPr>
          <w:rFonts w:ascii="Arial" w:hAnsi="Arial" w:cs="Arial"/>
        </w:rPr>
        <w:t>T</w:t>
      </w:r>
      <w:r w:rsidR="00422FBA">
        <w:rPr>
          <w:rFonts w:ascii="Arial" w:hAnsi="Arial" w:cs="Arial"/>
        </w:rPr>
        <w:t xml:space="preserve">ask </w:t>
      </w:r>
      <w:r w:rsidR="00820CF1">
        <w:rPr>
          <w:rFonts w:ascii="Arial" w:hAnsi="Arial" w:cs="Arial"/>
        </w:rPr>
        <w:t>F</w:t>
      </w:r>
      <w:r w:rsidR="00422FBA">
        <w:rPr>
          <w:rFonts w:ascii="Arial" w:hAnsi="Arial" w:cs="Arial"/>
        </w:rPr>
        <w:t>orce members</w:t>
      </w:r>
      <w:r w:rsidR="005E4A38">
        <w:rPr>
          <w:rFonts w:ascii="Arial" w:hAnsi="Arial" w:cs="Arial"/>
        </w:rPr>
        <w:t>:</w:t>
      </w:r>
    </w:p>
    <w:p w14:paraId="3E86415A" w14:textId="60EB85B6" w:rsidR="005E4A38" w:rsidRDefault="005E4A38" w:rsidP="005E4A38">
      <w:pPr>
        <w:pStyle w:val="ListParagraph"/>
        <w:numPr>
          <w:ilvl w:val="0"/>
          <w:numId w:val="8"/>
        </w:numPr>
        <w:rPr>
          <w:rFonts w:ascii="Arial" w:hAnsi="Arial" w:cs="Arial"/>
        </w:rPr>
      </w:pPr>
      <w:r>
        <w:rPr>
          <w:rFonts w:ascii="Arial" w:hAnsi="Arial" w:cs="Arial"/>
        </w:rPr>
        <w:t xml:space="preserve">Task Force members </w:t>
      </w:r>
      <w:r w:rsidR="00C9047C">
        <w:rPr>
          <w:rFonts w:ascii="Arial" w:hAnsi="Arial" w:cs="Arial"/>
        </w:rPr>
        <w:t xml:space="preserve">with </w:t>
      </w:r>
      <w:r w:rsidR="009122D1">
        <w:rPr>
          <w:rFonts w:ascii="Arial" w:hAnsi="Arial" w:cs="Arial"/>
        </w:rPr>
        <w:t xml:space="preserve">no </w:t>
      </w:r>
      <w:r w:rsidR="0073792A">
        <w:rPr>
          <w:rFonts w:ascii="Arial" w:hAnsi="Arial" w:cs="Arial"/>
        </w:rPr>
        <w:t xml:space="preserve">conflicts of interest </w:t>
      </w:r>
      <w:r>
        <w:rPr>
          <w:rFonts w:ascii="Arial" w:hAnsi="Arial" w:cs="Arial"/>
        </w:rPr>
        <w:t>will participate in discussion, drafting, and voting on recommendations.</w:t>
      </w:r>
    </w:p>
    <w:p w14:paraId="3F85E047" w14:textId="624FEBD0" w:rsidR="005E4A38" w:rsidRPr="00B6274E" w:rsidRDefault="005E4A38" w:rsidP="005E4A38">
      <w:pPr>
        <w:pStyle w:val="ListParagraph"/>
        <w:numPr>
          <w:ilvl w:val="0"/>
          <w:numId w:val="8"/>
        </w:numPr>
        <w:rPr>
          <w:rFonts w:ascii="Arial" w:hAnsi="Arial" w:cs="Arial"/>
        </w:rPr>
      </w:pPr>
      <w:r>
        <w:rPr>
          <w:rFonts w:ascii="Arial" w:hAnsi="Arial" w:cs="Arial"/>
        </w:rPr>
        <w:t xml:space="preserve">Task Force members </w:t>
      </w:r>
      <w:r w:rsidR="00C9047C">
        <w:rPr>
          <w:rFonts w:ascii="Arial" w:hAnsi="Arial" w:cs="Arial"/>
        </w:rPr>
        <w:t>with</w:t>
      </w:r>
      <w:r>
        <w:rPr>
          <w:rFonts w:ascii="Arial" w:hAnsi="Arial" w:cs="Arial"/>
        </w:rPr>
        <w:t xml:space="preserve"> </w:t>
      </w:r>
      <w:r w:rsidR="0073792A">
        <w:rPr>
          <w:rFonts w:ascii="Arial" w:hAnsi="Arial" w:cs="Arial"/>
        </w:rPr>
        <w:t xml:space="preserve">conflicts of interest </w:t>
      </w:r>
      <w:r w:rsidR="001D07CC">
        <w:rPr>
          <w:rFonts w:ascii="Arial" w:hAnsi="Arial" w:cs="Arial"/>
        </w:rPr>
        <w:t>may participate</w:t>
      </w:r>
      <w:r>
        <w:rPr>
          <w:rFonts w:ascii="Arial" w:hAnsi="Arial" w:cs="Arial"/>
        </w:rPr>
        <w:t xml:space="preserve"> in discussion</w:t>
      </w:r>
      <w:r w:rsidR="00713D24">
        <w:rPr>
          <w:rFonts w:ascii="Arial" w:hAnsi="Arial" w:cs="Arial"/>
        </w:rPr>
        <w:t>s</w:t>
      </w:r>
      <w:r w:rsidR="000C7C5A">
        <w:rPr>
          <w:rFonts w:ascii="Arial" w:hAnsi="Arial" w:cs="Arial"/>
        </w:rPr>
        <w:t xml:space="preserve"> and </w:t>
      </w:r>
      <w:r w:rsidR="005F328D">
        <w:rPr>
          <w:rFonts w:ascii="Arial" w:hAnsi="Arial" w:cs="Arial"/>
        </w:rPr>
        <w:t>drafting but</w:t>
      </w:r>
      <w:r w:rsidR="00713D24">
        <w:rPr>
          <w:rFonts w:ascii="Arial" w:hAnsi="Arial" w:cs="Arial"/>
        </w:rPr>
        <w:t xml:space="preserve"> </w:t>
      </w:r>
      <w:r w:rsidR="001D07CC">
        <w:rPr>
          <w:rFonts w:ascii="Arial" w:hAnsi="Arial" w:cs="Arial"/>
        </w:rPr>
        <w:t xml:space="preserve">should be </w:t>
      </w:r>
      <w:r w:rsidR="00713D24">
        <w:rPr>
          <w:rFonts w:ascii="Arial" w:hAnsi="Arial" w:cs="Arial"/>
        </w:rPr>
        <w:t xml:space="preserve">recused from </w:t>
      </w:r>
      <w:r>
        <w:rPr>
          <w:rFonts w:ascii="Arial" w:hAnsi="Arial" w:cs="Arial"/>
        </w:rPr>
        <w:t xml:space="preserve">voting on recommendations pertinent to those </w:t>
      </w:r>
      <w:r w:rsidR="0073792A">
        <w:rPr>
          <w:rFonts w:ascii="Arial" w:hAnsi="Arial" w:cs="Arial"/>
        </w:rPr>
        <w:t>conflicts of interest</w:t>
      </w:r>
      <w:r>
        <w:rPr>
          <w:rFonts w:ascii="Arial" w:hAnsi="Arial" w:cs="Arial"/>
        </w:rPr>
        <w:t>.</w:t>
      </w:r>
    </w:p>
    <w:p w14:paraId="73EE3AF4" w14:textId="3761C43D" w:rsidR="003C6DD9" w:rsidRDefault="003C6DD9" w:rsidP="003C6DD9">
      <w:pPr>
        <w:rPr>
          <w:rFonts w:ascii="Arial" w:hAnsi="Arial" w:cs="Arial"/>
        </w:rPr>
      </w:pPr>
    </w:p>
    <w:p w14:paraId="0B1B0F11" w14:textId="40CB9078" w:rsidR="008B0815" w:rsidRDefault="00452295">
      <w:pPr>
        <w:rPr>
          <w:rFonts w:ascii="Arial" w:hAnsi="Arial" w:cs="Arial"/>
          <w:b/>
        </w:rPr>
      </w:pPr>
      <w:r w:rsidRPr="00A93B05">
        <w:rPr>
          <w:rFonts w:ascii="Arial" w:hAnsi="Arial" w:cs="Arial"/>
          <w:b/>
        </w:rPr>
        <w:t>Public Disclosure of Relationships with Industry and other Entities</w:t>
      </w:r>
    </w:p>
    <w:p w14:paraId="631FA7E3" w14:textId="0F74B7A4" w:rsidR="00BA6DA5" w:rsidRPr="009517D1" w:rsidRDefault="0019699A">
      <w:pPr>
        <w:rPr>
          <w:rFonts w:ascii="Arial" w:hAnsi="Arial" w:cs="Arial"/>
        </w:rPr>
      </w:pPr>
      <w:r>
        <w:rPr>
          <w:rFonts w:ascii="Arial" w:hAnsi="Arial" w:cs="Arial"/>
        </w:rPr>
        <w:t>R</w:t>
      </w:r>
      <w:r w:rsidR="00452295" w:rsidRPr="00A93B05">
        <w:rPr>
          <w:rFonts w:ascii="Arial" w:hAnsi="Arial" w:cs="Arial"/>
        </w:rPr>
        <w:t xml:space="preserve">elevant relationships with industry </w:t>
      </w:r>
      <w:r w:rsidR="00452295" w:rsidRPr="005D10DA">
        <w:rPr>
          <w:rFonts w:ascii="Arial" w:hAnsi="Arial" w:cs="Arial"/>
        </w:rPr>
        <w:t xml:space="preserve">and other entities </w:t>
      </w:r>
      <w:r w:rsidR="001D07CC">
        <w:rPr>
          <w:rFonts w:ascii="Arial" w:hAnsi="Arial" w:cs="Arial"/>
        </w:rPr>
        <w:t xml:space="preserve">of Task Force members </w:t>
      </w:r>
      <w:r w:rsidR="00D67667">
        <w:rPr>
          <w:rFonts w:ascii="Arial" w:hAnsi="Arial" w:cs="Arial"/>
        </w:rPr>
        <w:t>will be</w:t>
      </w:r>
      <w:r w:rsidR="00452295" w:rsidRPr="005D10DA">
        <w:rPr>
          <w:rFonts w:ascii="Arial" w:hAnsi="Arial" w:cs="Arial"/>
        </w:rPr>
        <w:t xml:space="preserve"> published in the document appendix. </w:t>
      </w:r>
    </w:p>
    <w:sectPr w:rsidR="00BA6DA5" w:rsidRPr="009517D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67C7" w14:textId="77777777" w:rsidR="000B1486" w:rsidRDefault="000B1486" w:rsidP="00A36BC8">
      <w:r>
        <w:separator/>
      </w:r>
    </w:p>
  </w:endnote>
  <w:endnote w:type="continuationSeparator" w:id="0">
    <w:p w14:paraId="3D329818" w14:textId="77777777" w:rsidR="000B1486" w:rsidRDefault="000B1486" w:rsidP="00A36BC8">
      <w:r>
        <w:continuationSeparator/>
      </w:r>
    </w:p>
  </w:endnote>
  <w:endnote w:type="continuationNotice" w:id="1">
    <w:p w14:paraId="2EBFAFB8" w14:textId="77777777" w:rsidR="000B1486" w:rsidRDefault="000B1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TimesNewRomanPS-BoldMT">
    <w:altName w:val="Times New Roman"/>
    <w:panose1 w:val="020B0604020202020204"/>
    <w:charset w:val="00"/>
    <w:family w:val="roman"/>
    <w:notTrueType/>
    <w:pitch w:val="default"/>
  </w:font>
  <w:font w:name="Wingdings-Regular">
    <w:altName w:val="Wingdings"/>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124054"/>
      <w:docPartObj>
        <w:docPartGallery w:val="Page Numbers (Bottom of Page)"/>
        <w:docPartUnique/>
      </w:docPartObj>
    </w:sdtPr>
    <w:sdtEndPr>
      <w:rPr>
        <w:rFonts w:ascii="Arial" w:hAnsi="Arial" w:cs="Arial"/>
        <w:noProof/>
        <w:sz w:val="20"/>
        <w:szCs w:val="20"/>
      </w:rPr>
    </w:sdtEndPr>
    <w:sdtContent>
      <w:p w14:paraId="16E784D3" w14:textId="423D21AD" w:rsidR="006439F5" w:rsidRPr="006439F5" w:rsidRDefault="006439F5">
        <w:pPr>
          <w:pStyle w:val="Footer"/>
          <w:jc w:val="center"/>
          <w:rPr>
            <w:rFonts w:ascii="Arial" w:hAnsi="Arial" w:cs="Arial"/>
            <w:sz w:val="20"/>
            <w:szCs w:val="20"/>
          </w:rPr>
        </w:pPr>
        <w:r w:rsidRPr="006439F5">
          <w:rPr>
            <w:rFonts w:ascii="Arial" w:hAnsi="Arial" w:cs="Arial"/>
            <w:sz w:val="20"/>
            <w:szCs w:val="20"/>
          </w:rPr>
          <w:fldChar w:fldCharType="begin"/>
        </w:r>
        <w:r w:rsidRPr="006439F5">
          <w:rPr>
            <w:rFonts w:ascii="Arial" w:hAnsi="Arial" w:cs="Arial"/>
            <w:sz w:val="20"/>
            <w:szCs w:val="20"/>
          </w:rPr>
          <w:instrText xml:space="preserve"> PAGE   \* MERGEFORMAT </w:instrText>
        </w:r>
        <w:r w:rsidRPr="006439F5">
          <w:rPr>
            <w:rFonts w:ascii="Arial" w:hAnsi="Arial" w:cs="Arial"/>
            <w:sz w:val="20"/>
            <w:szCs w:val="20"/>
          </w:rPr>
          <w:fldChar w:fldCharType="separate"/>
        </w:r>
        <w:r w:rsidR="000445CB">
          <w:rPr>
            <w:rFonts w:ascii="Arial" w:hAnsi="Arial" w:cs="Arial"/>
            <w:noProof/>
            <w:sz w:val="20"/>
            <w:szCs w:val="20"/>
          </w:rPr>
          <w:t>1</w:t>
        </w:r>
        <w:r w:rsidRPr="006439F5">
          <w:rPr>
            <w:rFonts w:ascii="Arial" w:hAnsi="Arial" w:cs="Arial"/>
            <w:noProof/>
            <w:sz w:val="20"/>
            <w:szCs w:val="20"/>
          </w:rPr>
          <w:fldChar w:fldCharType="end"/>
        </w:r>
      </w:p>
    </w:sdtContent>
  </w:sdt>
  <w:p w14:paraId="4C02EA71" w14:textId="77777777" w:rsidR="006C2E7B" w:rsidRDefault="006C2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CC70C" w14:textId="77777777" w:rsidR="000B1486" w:rsidRDefault="000B1486" w:rsidP="00A36BC8">
      <w:r>
        <w:separator/>
      </w:r>
    </w:p>
  </w:footnote>
  <w:footnote w:type="continuationSeparator" w:id="0">
    <w:p w14:paraId="009E0788" w14:textId="77777777" w:rsidR="000B1486" w:rsidRDefault="000B1486" w:rsidP="00A36BC8">
      <w:r>
        <w:continuationSeparator/>
      </w:r>
    </w:p>
  </w:footnote>
  <w:footnote w:type="continuationNotice" w:id="1">
    <w:p w14:paraId="3CC8D10A" w14:textId="77777777" w:rsidR="000B1486" w:rsidRDefault="000B1486"/>
  </w:footnote>
  <w:footnote w:id="2">
    <w:p w14:paraId="1CE91F87" w14:textId="6F792E2A" w:rsidR="00A36BC8" w:rsidRPr="009D7F80" w:rsidRDefault="00A36BC8" w:rsidP="00A36BC8">
      <w:pPr>
        <w:rPr>
          <w:rFonts w:ascii="Arial" w:hAnsi="Arial" w:cs="Arial"/>
          <w:sz w:val="20"/>
          <w:szCs w:val="20"/>
        </w:rPr>
      </w:pPr>
      <w:r w:rsidRPr="007B21E4">
        <w:rPr>
          <w:rStyle w:val="FootnoteReference"/>
          <w:rFonts w:ascii="Arial" w:hAnsi="Arial" w:cs="Arial"/>
          <w:sz w:val="20"/>
          <w:szCs w:val="20"/>
        </w:rPr>
        <w:footnoteRef/>
      </w:r>
      <w:r w:rsidRPr="007B21E4">
        <w:rPr>
          <w:rFonts w:ascii="Arial" w:hAnsi="Arial" w:cs="Arial"/>
          <w:sz w:val="20"/>
          <w:szCs w:val="20"/>
        </w:rPr>
        <w:t xml:space="preserve"> </w:t>
      </w:r>
      <w:r w:rsidR="00E91CCA">
        <w:rPr>
          <w:rFonts w:ascii="Arial" w:hAnsi="Arial" w:cs="Arial"/>
          <w:sz w:val="20"/>
          <w:szCs w:val="20"/>
        </w:rPr>
        <w:t>Partner</w:t>
      </w:r>
      <w:r w:rsidR="009D7F80">
        <w:rPr>
          <w:rFonts w:ascii="Arial" w:hAnsi="Arial" w:cs="Arial"/>
          <w:sz w:val="20"/>
          <w:szCs w:val="20"/>
        </w:rPr>
        <w:t xml:space="preserve"> with whom participant has lived for </w:t>
      </w:r>
      <w:bookmarkStart w:id="1" w:name="_Hlk63401614"/>
      <w:r w:rsidR="00287D3B" w:rsidRPr="00287D3B">
        <w:rPr>
          <w:rFonts w:ascii="Arial" w:hAnsi="Arial" w:cs="Arial"/>
          <w:sz w:val="20"/>
          <w:szCs w:val="20"/>
        </w:rPr>
        <w:t>≥</w:t>
      </w:r>
      <w:bookmarkEnd w:id="1"/>
      <w:r w:rsidR="00287D3B">
        <w:rPr>
          <w:rFonts w:ascii="Arial" w:hAnsi="Arial" w:cs="Arial"/>
          <w:sz w:val="20"/>
          <w:szCs w:val="20"/>
        </w:rPr>
        <w:t xml:space="preserve"> </w:t>
      </w:r>
      <w:r w:rsidR="009D7F80">
        <w:rPr>
          <w:rFonts w:ascii="Arial" w:hAnsi="Arial" w:cs="Arial"/>
          <w:sz w:val="20"/>
          <w:szCs w:val="20"/>
        </w:rPr>
        <w:t xml:space="preserve">1 year in the same home. Dependent or any other related person (by blood or marriage) with whom participant has lived for </w:t>
      </w:r>
      <w:r w:rsidR="0038500D" w:rsidRPr="00287D3B">
        <w:rPr>
          <w:rFonts w:ascii="Arial" w:hAnsi="Arial" w:cs="Arial"/>
          <w:sz w:val="20"/>
          <w:szCs w:val="20"/>
        </w:rPr>
        <w:t>≥</w:t>
      </w:r>
      <w:r w:rsidR="0038500D">
        <w:rPr>
          <w:rFonts w:ascii="Arial" w:hAnsi="Arial" w:cs="Arial"/>
          <w:sz w:val="20"/>
          <w:szCs w:val="20"/>
        </w:rPr>
        <w:t xml:space="preserve"> </w:t>
      </w:r>
      <w:r w:rsidR="009D7F80">
        <w:rPr>
          <w:rFonts w:ascii="Arial" w:hAnsi="Arial" w:cs="Arial"/>
          <w:sz w:val="20"/>
          <w:szCs w:val="20"/>
        </w:rPr>
        <w:t>1 year</w:t>
      </w:r>
      <w:r w:rsidR="007923F0">
        <w:rPr>
          <w:rFonts w:ascii="Arial" w:hAnsi="Arial" w:cs="Arial"/>
          <w:sz w:val="20"/>
          <w:szCs w:val="20"/>
        </w:rPr>
        <w:t xml:space="preserve"> in the same home.</w:t>
      </w:r>
    </w:p>
    <w:p w14:paraId="5C5EDF33" w14:textId="366B3544" w:rsidR="00A36BC8" w:rsidRDefault="00A36BC8">
      <w:pPr>
        <w:pStyle w:val="FootnoteText"/>
      </w:pPr>
    </w:p>
  </w:footnote>
  <w:footnote w:id="3">
    <w:p w14:paraId="1FBFD1A2" w14:textId="04928989" w:rsidR="009A4BD5" w:rsidRDefault="009A4BD5" w:rsidP="003C3B9B">
      <w:pPr>
        <w:rPr>
          <w:rFonts w:ascii="Arial" w:hAnsi="Arial" w:cs="Arial"/>
          <w:sz w:val="20"/>
          <w:szCs w:val="20"/>
        </w:rPr>
      </w:pPr>
      <w:r w:rsidRPr="00711C23">
        <w:rPr>
          <w:rStyle w:val="FootnoteReference"/>
          <w:rFonts w:ascii="Arial" w:hAnsi="Arial" w:cs="Arial"/>
          <w:sz w:val="20"/>
          <w:szCs w:val="20"/>
        </w:rPr>
        <w:footnoteRef/>
      </w:r>
      <w:r w:rsidRPr="00711C23">
        <w:rPr>
          <w:rFonts w:ascii="Arial" w:hAnsi="Arial" w:cs="Arial"/>
          <w:sz w:val="20"/>
          <w:szCs w:val="20"/>
        </w:rPr>
        <w:t xml:space="preserve"> </w:t>
      </w:r>
      <w:r w:rsidR="0015547B">
        <w:rPr>
          <w:rFonts w:ascii="Arial" w:hAnsi="Arial" w:cs="Arial"/>
          <w:sz w:val="20"/>
          <w:szCs w:val="20"/>
        </w:rPr>
        <w:t>C</w:t>
      </w:r>
      <w:r w:rsidR="00FE0EAA" w:rsidRPr="00711C23">
        <w:rPr>
          <w:rFonts w:ascii="Arial" w:hAnsi="Arial" w:cs="Arial"/>
          <w:sz w:val="20"/>
          <w:szCs w:val="20"/>
        </w:rPr>
        <w:t>ompanies whose primary business is producing, marketing, selling, re-selling, or distributing healthcare products used by or on patients</w:t>
      </w:r>
      <w:r w:rsidR="003C3B9B" w:rsidRPr="00711C23">
        <w:rPr>
          <w:rFonts w:ascii="Arial" w:hAnsi="Arial" w:cs="Arial"/>
          <w:sz w:val="20"/>
          <w:szCs w:val="20"/>
        </w:rPr>
        <w:t>.</w:t>
      </w:r>
    </w:p>
    <w:p w14:paraId="04B2F562" w14:textId="77777777" w:rsidR="0015547B" w:rsidRPr="0053602F" w:rsidRDefault="0015547B" w:rsidP="0053602F">
      <w:pPr>
        <w:rPr>
          <w:rFonts w:ascii="Arial" w:hAnsi="Arial" w:cs="Arial"/>
          <w:sz w:val="20"/>
          <w:szCs w:val="20"/>
        </w:rPr>
      </w:pPr>
    </w:p>
  </w:footnote>
  <w:footnote w:id="4">
    <w:p w14:paraId="1CD394B0" w14:textId="7BCE52AB" w:rsidR="001F0F74" w:rsidRPr="0015547B" w:rsidRDefault="001F0F74" w:rsidP="0053602F">
      <w:r w:rsidRPr="0053602F">
        <w:rPr>
          <w:rStyle w:val="FootnoteReference"/>
          <w:rFonts w:ascii="Arial" w:hAnsi="Arial" w:cs="Arial"/>
          <w:sz w:val="20"/>
          <w:szCs w:val="20"/>
        </w:rPr>
        <w:footnoteRef/>
      </w:r>
      <w:r w:rsidRPr="0053602F">
        <w:rPr>
          <w:rFonts w:ascii="Arial" w:hAnsi="Arial" w:cs="Arial"/>
          <w:sz w:val="20"/>
          <w:szCs w:val="20"/>
        </w:rPr>
        <w:t xml:space="preserve"> </w:t>
      </w:r>
      <w:r w:rsidR="0053602F" w:rsidRPr="0053602F">
        <w:rPr>
          <w:rFonts w:ascii="Arial" w:hAnsi="Arial" w:cs="Arial"/>
          <w:sz w:val="20"/>
          <w:szCs w:val="20"/>
        </w:rPr>
        <w:t>Government entities, not-for-profit institutions, and organizations.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4E40" w14:textId="5C726437" w:rsidR="00AD08A8" w:rsidRPr="00B30393" w:rsidRDefault="00BB115B">
    <w:pPr>
      <w:pStyle w:val="Header"/>
      <w:rPr>
        <w:rFonts w:ascii="Arial" w:hAnsi="Arial" w:cs="Arial"/>
        <w:sz w:val="20"/>
        <w:szCs w:val="20"/>
      </w:rPr>
    </w:pPr>
    <w:r w:rsidRPr="00B30393">
      <w:rPr>
        <w:rFonts w:ascii="Arial" w:hAnsi="Arial" w:cs="Arial"/>
        <w:sz w:val="20"/>
        <w:szCs w:val="20"/>
      </w:rPr>
      <w:t xml:space="preserve">CPP COI Policy </w:t>
    </w:r>
    <w:r w:rsidR="00B30393" w:rsidRPr="00B30393">
      <w:rPr>
        <w:rFonts w:ascii="Arial" w:hAnsi="Arial" w:cs="Arial"/>
        <w:sz w:val="20"/>
        <w:szCs w:val="20"/>
      </w:rPr>
      <w:t>Revised July 2021</w:t>
    </w:r>
  </w:p>
  <w:p w14:paraId="76D031C0" w14:textId="1BDC8EC6" w:rsidR="006C2E7B" w:rsidRPr="00073847" w:rsidRDefault="006C2E7B">
    <w:pPr>
      <w:pStyle w:val="Header"/>
      <w:rPr>
        <w:rFonts w:ascii="Franklin Gothic Book" w:hAnsi="Franklin Gothic Book"/>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58F6"/>
    <w:multiLevelType w:val="hybridMultilevel"/>
    <w:tmpl w:val="96C81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F07EB"/>
    <w:multiLevelType w:val="hybridMultilevel"/>
    <w:tmpl w:val="0C34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D51DA"/>
    <w:multiLevelType w:val="hybridMultilevel"/>
    <w:tmpl w:val="BFA01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2650D"/>
    <w:multiLevelType w:val="hybridMultilevel"/>
    <w:tmpl w:val="D488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F6AFE"/>
    <w:multiLevelType w:val="hybridMultilevel"/>
    <w:tmpl w:val="AD00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36E80"/>
    <w:multiLevelType w:val="hybridMultilevel"/>
    <w:tmpl w:val="0140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26A2A"/>
    <w:multiLevelType w:val="multilevel"/>
    <w:tmpl w:val="158AAA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7861C0C"/>
    <w:multiLevelType w:val="hybridMultilevel"/>
    <w:tmpl w:val="6DB2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429533">
    <w:abstractNumId w:val="7"/>
  </w:num>
  <w:num w:numId="2" w16cid:durableId="325861801">
    <w:abstractNumId w:val="6"/>
  </w:num>
  <w:num w:numId="3" w16cid:durableId="1421757264">
    <w:abstractNumId w:val="1"/>
  </w:num>
  <w:num w:numId="4" w16cid:durableId="1638408974">
    <w:abstractNumId w:val="5"/>
  </w:num>
  <w:num w:numId="5" w16cid:durableId="2120946889">
    <w:abstractNumId w:val="0"/>
  </w:num>
  <w:num w:numId="6" w16cid:durableId="698746684">
    <w:abstractNumId w:val="2"/>
  </w:num>
  <w:num w:numId="7" w16cid:durableId="1221015701">
    <w:abstractNumId w:val="3"/>
  </w:num>
  <w:num w:numId="8" w16cid:durableId="133377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B5A"/>
    <w:rsid w:val="00005E22"/>
    <w:rsid w:val="0002501E"/>
    <w:rsid w:val="00025079"/>
    <w:rsid w:val="00030B8A"/>
    <w:rsid w:val="0004204E"/>
    <w:rsid w:val="00042F79"/>
    <w:rsid w:val="000445CB"/>
    <w:rsid w:val="000475F8"/>
    <w:rsid w:val="0005213F"/>
    <w:rsid w:val="000573AE"/>
    <w:rsid w:val="00073847"/>
    <w:rsid w:val="00082E94"/>
    <w:rsid w:val="00083161"/>
    <w:rsid w:val="00090EC2"/>
    <w:rsid w:val="00093EEB"/>
    <w:rsid w:val="000A0A93"/>
    <w:rsid w:val="000A3A70"/>
    <w:rsid w:val="000B07C5"/>
    <w:rsid w:val="000B144E"/>
    <w:rsid w:val="000B1486"/>
    <w:rsid w:val="000B199C"/>
    <w:rsid w:val="000C5330"/>
    <w:rsid w:val="000C7C5A"/>
    <w:rsid w:val="000D219D"/>
    <w:rsid w:val="000D3A0B"/>
    <w:rsid w:val="000D50BC"/>
    <w:rsid w:val="000F2E6F"/>
    <w:rsid w:val="0011019F"/>
    <w:rsid w:val="0012485C"/>
    <w:rsid w:val="001348D2"/>
    <w:rsid w:val="001365B1"/>
    <w:rsid w:val="0014372C"/>
    <w:rsid w:val="00145C09"/>
    <w:rsid w:val="00147C7F"/>
    <w:rsid w:val="0015031C"/>
    <w:rsid w:val="0015054A"/>
    <w:rsid w:val="0015547B"/>
    <w:rsid w:val="00163962"/>
    <w:rsid w:val="00167E3E"/>
    <w:rsid w:val="00172F1D"/>
    <w:rsid w:val="00187297"/>
    <w:rsid w:val="001902CB"/>
    <w:rsid w:val="0019699A"/>
    <w:rsid w:val="001A08B3"/>
    <w:rsid w:val="001D07CC"/>
    <w:rsid w:val="001D25A5"/>
    <w:rsid w:val="001D6C17"/>
    <w:rsid w:val="001E4594"/>
    <w:rsid w:val="001F0D83"/>
    <w:rsid w:val="001F0F74"/>
    <w:rsid w:val="001F3A90"/>
    <w:rsid w:val="00222BD1"/>
    <w:rsid w:val="00223154"/>
    <w:rsid w:val="002237BA"/>
    <w:rsid w:val="002324DE"/>
    <w:rsid w:val="00241C8F"/>
    <w:rsid w:val="00243347"/>
    <w:rsid w:val="00254B3D"/>
    <w:rsid w:val="00254FFF"/>
    <w:rsid w:val="00267C95"/>
    <w:rsid w:val="002816EA"/>
    <w:rsid w:val="00287D3B"/>
    <w:rsid w:val="002914BC"/>
    <w:rsid w:val="00291C17"/>
    <w:rsid w:val="002A45F9"/>
    <w:rsid w:val="002A62CA"/>
    <w:rsid w:val="002B2017"/>
    <w:rsid w:val="002B7476"/>
    <w:rsid w:val="002B7518"/>
    <w:rsid w:val="002D22EF"/>
    <w:rsid w:val="002D2C63"/>
    <w:rsid w:val="002E726D"/>
    <w:rsid w:val="002F667E"/>
    <w:rsid w:val="002F6DBE"/>
    <w:rsid w:val="00317B45"/>
    <w:rsid w:val="0032758F"/>
    <w:rsid w:val="003410ED"/>
    <w:rsid w:val="0035291C"/>
    <w:rsid w:val="00355280"/>
    <w:rsid w:val="00356521"/>
    <w:rsid w:val="003628C9"/>
    <w:rsid w:val="0038202B"/>
    <w:rsid w:val="00382851"/>
    <w:rsid w:val="0038500D"/>
    <w:rsid w:val="00385715"/>
    <w:rsid w:val="003866B0"/>
    <w:rsid w:val="003A040B"/>
    <w:rsid w:val="003A4D52"/>
    <w:rsid w:val="003A5C79"/>
    <w:rsid w:val="003B13AA"/>
    <w:rsid w:val="003B2036"/>
    <w:rsid w:val="003C3B9B"/>
    <w:rsid w:val="003C66AE"/>
    <w:rsid w:val="003C6DD9"/>
    <w:rsid w:val="003D366E"/>
    <w:rsid w:val="003D4B86"/>
    <w:rsid w:val="003E2DA0"/>
    <w:rsid w:val="003F71B5"/>
    <w:rsid w:val="00422FBA"/>
    <w:rsid w:val="004259B5"/>
    <w:rsid w:val="0043335C"/>
    <w:rsid w:val="00442344"/>
    <w:rsid w:val="004426A3"/>
    <w:rsid w:val="00452295"/>
    <w:rsid w:val="00453D03"/>
    <w:rsid w:val="004742B7"/>
    <w:rsid w:val="00491136"/>
    <w:rsid w:val="004946A6"/>
    <w:rsid w:val="004A59B3"/>
    <w:rsid w:val="004B3067"/>
    <w:rsid w:val="004B3F85"/>
    <w:rsid w:val="004C3659"/>
    <w:rsid w:val="004D5C5B"/>
    <w:rsid w:val="004D70B7"/>
    <w:rsid w:val="00523566"/>
    <w:rsid w:val="00531AAC"/>
    <w:rsid w:val="00532A65"/>
    <w:rsid w:val="00532C55"/>
    <w:rsid w:val="00532CD0"/>
    <w:rsid w:val="00535A33"/>
    <w:rsid w:val="0053602F"/>
    <w:rsid w:val="00536F22"/>
    <w:rsid w:val="00540458"/>
    <w:rsid w:val="005464E2"/>
    <w:rsid w:val="005477D8"/>
    <w:rsid w:val="00555DA0"/>
    <w:rsid w:val="00563FF4"/>
    <w:rsid w:val="0056489B"/>
    <w:rsid w:val="00565ADB"/>
    <w:rsid w:val="00583E68"/>
    <w:rsid w:val="005862E5"/>
    <w:rsid w:val="00593E32"/>
    <w:rsid w:val="00595FAE"/>
    <w:rsid w:val="005A3CC6"/>
    <w:rsid w:val="005A6A5D"/>
    <w:rsid w:val="005B0D11"/>
    <w:rsid w:val="005B2028"/>
    <w:rsid w:val="005D10DA"/>
    <w:rsid w:val="005D7C0F"/>
    <w:rsid w:val="005E1E4A"/>
    <w:rsid w:val="005E3641"/>
    <w:rsid w:val="005E4A38"/>
    <w:rsid w:val="005E5A53"/>
    <w:rsid w:val="005E6E0C"/>
    <w:rsid w:val="005F1FB9"/>
    <w:rsid w:val="005F2027"/>
    <w:rsid w:val="005F328D"/>
    <w:rsid w:val="00602BD3"/>
    <w:rsid w:val="00612AA8"/>
    <w:rsid w:val="0061309B"/>
    <w:rsid w:val="00613F8B"/>
    <w:rsid w:val="0064307F"/>
    <w:rsid w:val="006439F5"/>
    <w:rsid w:val="006501D4"/>
    <w:rsid w:val="00650310"/>
    <w:rsid w:val="00657FE3"/>
    <w:rsid w:val="0067571F"/>
    <w:rsid w:val="00680AD9"/>
    <w:rsid w:val="00681D04"/>
    <w:rsid w:val="006C2E7B"/>
    <w:rsid w:val="006C7F42"/>
    <w:rsid w:val="006F0D4C"/>
    <w:rsid w:val="006F5869"/>
    <w:rsid w:val="00700F69"/>
    <w:rsid w:val="00711C23"/>
    <w:rsid w:val="00713D24"/>
    <w:rsid w:val="00720436"/>
    <w:rsid w:val="00722646"/>
    <w:rsid w:val="00722C67"/>
    <w:rsid w:val="00731695"/>
    <w:rsid w:val="0073550A"/>
    <w:rsid w:val="0073792A"/>
    <w:rsid w:val="00741A91"/>
    <w:rsid w:val="00741B20"/>
    <w:rsid w:val="007548A7"/>
    <w:rsid w:val="00756A30"/>
    <w:rsid w:val="0075742E"/>
    <w:rsid w:val="00762AFF"/>
    <w:rsid w:val="00765BD7"/>
    <w:rsid w:val="0077165A"/>
    <w:rsid w:val="00780DE4"/>
    <w:rsid w:val="00780E36"/>
    <w:rsid w:val="007923F0"/>
    <w:rsid w:val="0079393E"/>
    <w:rsid w:val="007A3969"/>
    <w:rsid w:val="007A78C6"/>
    <w:rsid w:val="007B00A3"/>
    <w:rsid w:val="007B21E4"/>
    <w:rsid w:val="007B6FE8"/>
    <w:rsid w:val="007C215A"/>
    <w:rsid w:val="007C57AF"/>
    <w:rsid w:val="007D470A"/>
    <w:rsid w:val="007D7248"/>
    <w:rsid w:val="007E3987"/>
    <w:rsid w:val="007F6B91"/>
    <w:rsid w:val="007F7102"/>
    <w:rsid w:val="008005E6"/>
    <w:rsid w:val="00812FE9"/>
    <w:rsid w:val="00820CF1"/>
    <w:rsid w:val="0082688B"/>
    <w:rsid w:val="00831575"/>
    <w:rsid w:val="00833F9F"/>
    <w:rsid w:val="00836162"/>
    <w:rsid w:val="008459B1"/>
    <w:rsid w:val="00866F62"/>
    <w:rsid w:val="00867E24"/>
    <w:rsid w:val="00870080"/>
    <w:rsid w:val="008819E9"/>
    <w:rsid w:val="008861F0"/>
    <w:rsid w:val="008907DE"/>
    <w:rsid w:val="00890CFB"/>
    <w:rsid w:val="008931A0"/>
    <w:rsid w:val="0089796C"/>
    <w:rsid w:val="008B0815"/>
    <w:rsid w:val="008B6FD4"/>
    <w:rsid w:val="008C2CDE"/>
    <w:rsid w:val="008C3AF2"/>
    <w:rsid w:val="008C7624"/>
    <w:rsid w:val="008D0C84"/>
    <w:rsid w:val="008D17AC"/>
    <w:rsid w:val="008D36C1"/>
    <w:rsid w:val="009122D1"/>
    <w:rsid w:val="009242D7"/>
    <w:rsid w:val="00942796"/>
    <w:rsid w:val="009517D1"/>
    <w:rsid w:val="009568B8"/>
    <w:rsid w:val="00975756"/>
    <w:rsid w:val="00975F8E"/>
    <w:rsid w:val="00977643"/>
    <w:rsid w:val="00983475"/>
    <w:rsid w:val="00986B01"/>
    <w:rsid w:val="00990A7D"/>
    <w:rsid w:val="00990EA9"/>
    <w:rsid w:val="009922AE"/>
    <w:rsid w:val="00992CC2"/>
    <w:rsid w:val="009A31AA"/>
    <w:rsid w:val="009A4BD5"/>
    <w:rsid w:val="009B5D60"/>
    <w:rsid w:val="009C0A46"/>
    <w:rsid w:val="009C0CE5"/>
    <w:rsid w:val="009D01BE"/>
    <w:rsid w:val="009D47F5"/>
    <w:rsid w:val="009D7F80"/>
    <w:rsid w:val="009F06CB"/>
    <w:rsid w:val="009F4E1E"/>
    <w:rsid w:val="00A0176A"/>
    <w:rsid w:val="00A12221"/>
    <w:rsid w:val="00A3122D"/>
    <w:rsid w:val="00A36BC8"/>
    <w:rsid w:val="00A37472"/>
    <w:rsid w:val="00A4012C"/>
    <w:rsid w:val="00A51949"/>
    <w:rsid w:val="00A542FC"/>
    <w:rsid w:val="00A608F6"/>
    <w:rsid w:val="00A61BB8"/>
    <w:rsid w:val="00A65E8D"/>
    <w:rsid w:val="00A93B05"/>
    <w:rsid w:val="00A94B44"/>
    <w:rsid w:val="00A96931"/>
    <w:rsid w:val="00AA2A91"/>
    <w:rsid w:val="00AA31B1"/>
    <w:rsid w:val="00AA4BC3"/>
    <w:rsid w:val="00AB3E65"/>
    <w:rsid w:val="00AB50F8"/>
    <w:rsid w:val="00AD08A8"/>
    <w:rsid w:val="00AD6248"/>
    <w:rsid w:val="00AD678E"/>
    <w:rsid w:val="00AD74D7"/>
    <w:rsid w:val="00AE09FB"/>
    <w:rsid w:val="00B00EEE"/>
    <w:rsid w:val="00B11A31"/>
    <w:rsid w:val="00B14DB8"/>
    <w:rsid w:val="00B1609D"/>
    <w:rsid w:val="00B30393"/>
    <w:rsid w:val="00B32237"/>
    <w:rsid w:val="00B350D5"/>
    <w:rsid w:val="00B41106"/>
    <w:rsid w:val="00B533AA"/>
    <w:rsid w:val="00B5386F"/>
    <w:rsid w:val="00B557AA"/>
    <w:rsid w:val="00B6274E"/>
    <w:rsid w:val="00B64A45"/>
    <w:rsid w:val="00B66A3F"/>
    <w:rsid w:val="00B77082"/>
    <w:rsid w:val="00B77122"/>
    <w:rsid w:val="00B77BDC"/>
    <w:rsid w:val="00B86271"/>
    <w:rsid w:val="00B872CE"/>
    <w:rsid w:val="00B946D9"/>
    <w:rsid w:val="00BA27EC"/>
    <w:rsid w:val="00BA3F81"/>
    <w:rsid w:val="00BA6DA5"/>
    <w:rsid w:val="00BB115B"/>
    <w:rsid w:val="00BC4B53"/>
    <w:rsid w:val="00BD3DF1"/>
    <w:rsid w:val="00C020B2"/>
    <w:rsid w:val="00C0508C"/>
    <w:rsid w:val="00C13EB1"/>
    <w:rsid w:val="00C24C75"/>
    <w:rsid w:val="00C34476"/>
    <w:rsid w:val="00C466EE"/>
    <w:rsid w:val="00C52C49"/>
    <w:rsid w:val="00C57EBF"/>
    <w:rsid w:val="00C65BE8"/>
    <w:rsid w:val="00C84BC3"/>
    <w:rsid w:val="00C9047C"/>
    <w:rsid w:val="00CA0C30"/>
    <w:rsid w:val="00CC69F6"/>
    <w:rsid w:val="00CD008C"/>
    <w:rsid w:val="00CF4F3E"/>
    <w:rsid w:val="00CF5282"/>
    <w:rsid w:val="00D1005F"/>
    <w:rsid w:val="00D167D7"/>
    <w:rsid w:val="00D41024"/>
    <w:rsid w:val="00D45B7C"/>
    <w:rsid w:val="00D47CF3"/>
    <w:rsid w:val="00D67667"/>
    <w:rsid w:val="00D73673"/>
    <w:rsid w:val="00D81B45"/>
    <w:rsid w:val="00D91BA0"/>
    <w:rsid w:val="00D9230C"/>
    <w:rsid w:val="00D92831"/>
    <w:rsid w:val="00D93C21"/>
    <w:rsid w:val="00D942FD"/>
    <w:rsid w:val="00D94537"/>
    <w:rsid w:val="00DA1156"/>
    <w:rsid w:val="00DA781E"/>
    <w:rsid w:val="00DC747F"/>
    <w:rsid w:val="00DC78F1"/>
    <w:rsid w:val="00DC7B49"/>
    <w:rsid w:val="00DF1AD3"/>
    <w:rsid w:val="00E1405A"/>
    <w:rsid w:val="00E14D29"/>
    <w:rsid w:val="00E170FA"/>
    <w:rsid w:val="00E17307"/>
    <w:rsid w:val="00E1752D"/>
    <w:rsid w:val="00E20CCB"/>
    <w:rsid w:val="00E27AC1"/>
    <w:rsid w:val="00E30D22"/>
    <w:rsid w:val="00E35D00"/>
    <w:rsid w:val="00E35E14"/>
    <w:rsid w:val="00E36D08"/>
    <w:rsid w:val="00E36E51"/>
    <w:rsid w:val="00E42FB0"/>
    <w:rsid w:val="00E47D30"/>
    <w:rsid w:val="00E601DE"/>
    <w:rsid w:val="00E60F15"/>
    <w:rsid w:val="00E61874"/>
    <w:rsid w:val="00E70A86"/>
    <w:rsid w:val="00E80D49"/>
    <w:rsid w:val="00E914D5"/>
    <w:rsid w:val="00E91CCA"/>
    <w:rsid w:val="00E91CFD"/>
    <w:rsid w:val="00E9715E"/>
    <w:rsid w:val="00EA297B"/>
    <w:rsid w:val="00EB2641"/>
    <w:rsid w:val="00EB3E80"/>
    <w:rsid w:val="00EC0741"/>
    <w:rsid w:val="00ED2F0B"/>
    <w:rsid w:val="00ED4A73"/>
    <w:rsid w:val="00EE466B"/>
    <w:rsid w:val="00EE62D3"/>
    <w:rsid w:val="00EE6BD5"/>
    <w:rsid w:val="00F00F3B"/>
    <w:rsid w:val="00F04231"/>
    <w:rsid w:val="00F06F3E"/>
    <w:rsid w:val="00F12EAE"/>
    <w:rsid w:val="00F176EE"/>
    <w:rsid w:val="00F331F6"/>
    <w:rsid w:val="00F35791"/>
    <w:rsid w:val="00F4495A"/>
    <w:rsid w:val="00F5467D"/>
    <w:rsid w:val="00F57B5A"/>
    <w:rsid w:val="00F70956"/>
    <w:rsid w:val="00F75729"/>
    <w:rsid w:val="00FA17B9"/>
    <w:rsid w:val="00FA4671"/>
    <w:rsid w:val="00FA6316"/>
    <w:rsid w:val="00FB0777"/>
    <w:rsid w:val="00FB1570"/>
    <w:rsid w:val="00FB2AC3"/>
    <w:rsid w:val="00FB3309"/>
    <w:rsid w:val="00FB76A3"/>
    <w:rsid w:val="00FC2A52"/>
    <w:rsid w:val="00FE0EAA"/>
    <w:rsid w:val="00FE1F74"/>
    <w:rsid w:val="00FE1F7C"/>
    <w:rsid w:val="00FE20DC"/>
    <w:rsid w:val="00FE4C12"/>
    <w:rsid w:val="00FE5B8A"/>
    <w:rsid w:val="00FF2386"/>
    <w:rsid w:val="00FF2C08"/>
    <w:rsid w:val="00FF59AA"/>
    <w:rsid w:val="12E1B7F3"/>
    <w:rsid w:val="399F7C64"/>
    <w:rsid w:val="4F8BF171"/>
    <w:rsid w:val="6448C6A0"/>
    <w:rsid w:val="75A15B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5EDEB"/>
  <w15:chartTrackingRefBased/>
  <w15:docId w15:val="{51EBFB40-244E-E549-932B-722AC280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641"/>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DE4"/>
    <w:rPr>
      <w:sz w:val="18"/>
      <w:szCs w:val="18"/>
    </w:rPr>
  </w:style>
  <w:style w:type="character" w:customStyle="1" w:styleId="BalloonTextChar">
    <w:name w:val="Balloon Text Char"/>
    <w:basedOn w:val="DefaultParagraphFont"/>
    <w:link w:val="BalloonText"/>
    <w:uiPriority w:val="99"/>
    <w:semiHidden/>
    <w:rsid w:val="00780DE4"/>
    <w:rPr>
      <w:rFonts w:ascii="Times New Roman" w:hAnsi="Times New Roman"/>
      <w:sz w:val="18"/>
      <w:szCs w:val="18"/>
    </w:rPr>
  </w:style>
  <w:style w:type="character" w:styleId="CommentReference">
    <w:name w:val="annotation reference"/>
    <w:basedOn w:val="DefaultParagraphFont"/>
    <w:uiPriority w:val="99"/>
    <w:semiHidden/>
    <w:unhideWhenUsed/>
    <w:rsid w:val="007D470A"/>
    <w:rPr>
      <w:sz w:val="16"/>
      <w:szCs w:val="16"/>
    </w:rPr>
  </w:style>
  <w:style w:type="paragraph" w:styleId="CommentText">
    <w:name w:val="annotation text"/>
    <w:basedOn w:val="Normal"/>
    <w:link w:val="CommentTextChar"/>
    <w:uiPriority w:val="99"/>
    <w:semiHidden/>
    <w:unhideWhenUsed/>
    <w:rsid w:val="007D470A"/>
    <w:rPr>
      <w:sz w:val="20"/>
      <w:szCs w:val="20"/>
    </w:rPr>
  </w:style>
  <w:style w:type="character" w:customStyle="1" w:styleId="CommentTextChar">
    <w:name w:val="Comment Text Char"/>
    <w:basedOn w:val="DefaultParagraphFont"/>
    <w:link w:val="CommentText"/>
    <w:uiPriority w:val="99"/>
    <w:semiHidden/>
    <w:rsid w:val="007D470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D470A"/>
    <w:rPr>
      <w:b/>
      <w:bCs/>
    </w:rPr>
  </w:style>
  <w:style w:type="character" w:customStyle="1" w:styleId="CommentSubjectChar">
    <w:name w:val="Comment Subject Char"/>
    <w:basedOn w:val="CommentTextChar"/>
    <w:link w:val="CommentSubject"/>
    <w:uiPriority w:val="99"/>
    <w:semiHidden/>
    <w:rsid w:val="007D470A"/>
    <w:rPr>
      <w:rFonts w:ascii="Times New Roman" w:hAnsi="Times New Roman"/>
      <w:b/>
      <w:bCs/>
    </w:rPr>
  </w:style>
  <w:style w:type="paragraph" w:styleId="ListParagraph">
    <w:name w:val="List Paragraph"/>
    <w:basedOn w:val="Normal"/>
    <w:uiPriority w:val="72"/>
    <w:qFormat/>
    <w:rsid w:val="00D91BA0"/>
    <w:pPr>
      <w:ind w:left="720"/>
      <w:contextualSpacing/>
    </w:pPr>
  </w:style>
  <w:style w:type="character" w:customStyle="1" w:styleId="fontstyle01">
    <w:name w:val="fontstyle01"/>
    <w:basedOn w:val="DefaultParagraphFont"/>
    <w:rsid w:val="00E14D29"/>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E14D29"/>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E14D29"/>
    <w:rPr>
      <w:rFonts w:ascii="Wingdings-Regular" w:hAnsi="Wingdings-Regular" w:hint="default"/>
      <w:b w:val="0"/>
      <w:bCs w:val="0"/>
      <w:i w:val="0"/>
      <w:iCs w:val="0"/>
      <w:color w:val="000000"/>
      <w:sz w:val="20"/>
      <w:szCs w:val="20"/>
    </w:rPr>
  </w:style>
  <w:style w:type="character" w:customStyle="1" w:styleId="fontstyle41">
    <w:name w:val="fontstyle41"/>
    <w:basedOn w:val="DefaultParagraphFont"/>
    <w:rsid w:val="00E14D29"/>
    <w:rPr>
      <w:rFonts w:ascii="TimesNewRomanPS-ItalicMT" w:hAnsi="TimesNewRomanPS-ItalicMT" w:hint="default"/>
      <w:b w:val="0"/>
      <w:bCs w:val="0"/>
      <w:i/>
      <w:iCs/>
      <w:color w:val="000000"/>
      <w:sz w:val="22"/>
      <w:szCs w:val="22"/>
    </w:rPr>
  </w:style>
  <w:style w:type="paragraph" w:styleId="FootnoteText">
    <w:name w:val="footnote text"/>
    <w:basedOn w:val="Normal"/>
    <w:link w:val="FootnoteTextChar"/>
    <w:uiPriority w:val="99"/>
    <w:semiHidden/>
    <w:unhideWhenUsed/>
    <w:rsid w:val="00A36BC8"/>
    <w:rPr>
      <w:sz w:val="20"/>
      <w:szCs w:val="20"/>
    </w:rPr>
  </w:style>
  <w:style w:type="character" w:customStyle="1" w:styleId="FootnoteTextChar">
    <w:name w:val="Footnote Text Char"/>
    <w:basedOn w:val="DefaultParagraphFont"/>
    <w:link w:val="FootnoteText"/>
    <w:uiPriority w:val="99"/>
    <w:semiHidden/>
    <w:rsid w:val="00A36BC8"/>
    <w:rPr>
      <w:rFonts w:ascii="Times New Roman" w:hAnsi="Times New Roman"/>
    </w:rPr>
  </w:style>
  <w:style w:type="character" w:styleId="FootnoteReference">
    <w:name w:val="footnote reference"/>
    <w:basedOn w:val="DefaultParagraphFont"/>
    <w:uiPriority w:val="99"/>
    <w:semiHidden/>
    <w:unhideWhenUsed/>
    <w:rsid w:val="00A36BC8"/>
    <w:rPr>
      <w:vertAlign w:val="superscript"/>
    </w:rPr>
  </w:style>
  <w:style w:type="table" w:styleId="TableGrid">
    <w:name w:val="Table Grid"/>
    <w:basedOn w:val="TableNormal"/>
    <w:uiPriority w:val="59"/>
    <w:rsid w:val="006F0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2E7B"/>
    <w:pPr>
      <w:tabs>
        <w:tab w:val="center" w:pos="4680"/>
        <w:tab w:val="right" w:pos="9360"/>
      </w:tabs>
    </w:pPr>
  </w:style>
  <w:style w:type="character" w:customStyle="1" w:styleId="HeaderChar">
    <w:name w:val="Header Char"/>
    <w:basedOn w:val="DefaultParagraphFont"/>
    <w:link w:val="Header"/>
    <w:uiPriority w:val="99"/>
    <w:rsid w:val="006C2E7B"/>
    <w:rPr>
      <w:rFonts w:ascii="Times New Roman" w:hAnsi="Times New Roman"/>
      <w:sz w:val="24"/>
      <w:szCs w:val="24"/>
    </w:rPr>
  </w:style>
  <w:style w:type="paragraph" w:styleId="Footer">
    <w:name w:val="footer"/>
    <w:basedOn w:val="Normal"/>
    <w:link w:val="FooterChar"/>
    <w:uiPriority w:val="99"/>
    <w:unhideWhenUsed/>
    <w:rsid w:val="006C2E7B"/>
    <w:pPr>
      <w:tabs>
        <w:tab w:val="center" w:pos="4680"/>
        <w:tab w:val="right" w:pos="9360"/>
      </w:tabs>
    </w:pPr>
  </w:style>
  <w:style w:type="character" w:customStyle="1" w:styleId="FooterChar">
    <w:name w:val="Footer Char"/>
    <w:basedOn w:val="DefaultParagraphFont"/>
    <w:link w:val="Footer"/>
    <w:uiPriority w:val="99"/>
    <w:rsid w:val="006C2E7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0373">
      <w:bodyDiv w:val="1"/>
      <w:marLeft w:val="0"/>
      <w:marRight w:val="0"/>
      <w:marTop w:val="0"/>
      <w:marBottom w:val="0"/>
      <w:divBdr>
        <w:top w:val="none" w:sz="0" w:space="0" w:color="auto"/>
        <w:left w:val="none" w:sz="0" w:space="0" w:color="auto"/>
        <w:bottom w:val="none" w:sz="0" w:space="0" w:color="auto"/>
        <w:right w:val="none" w:sz="0" w:space="0" w:color="auto"/>
      </w:divBdr>
    </w:div>
    <w:div w:id="60208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C9008C-D60D-9C45-AE90-4602D729E41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F57530EE80A448AAFFEE82A701E62" ma:contentTypeVersion="10" ma:contentTypeDescription="Create a new document." ma:contentTypeScope="" ma:versionID="e399abf3845d93d6eb41c326ed11a96b">
  <xsd:schema xmlns:xsd="http://www.w3.org/2001/XMLSchema" xmlns:xs="http://www.w3.org/2001/XMLSchema" xmlns:p="http://schemas.microsoft.com/office/2006/metadata/properties" xmlns:ns2="0611007f-33ed-4385-8bda-ec24d1276813" xmlns:ns3="65467c28-9bc8-42ae-b610-6791a9f9ca87" targetNamespace="http://schemas.microsoft.com/office/2006/metadata/properties" ma:root="true" ma:fieldsID="9796190ff52a836b7c37b1bd279beaf4" ns2:_="" ns3:_="">
    <xsd:import namespace="0611007f-33ed-4385-8bda-ec24d1276813"/>
    <xsd:import namespace="65467c28-9bc8-42ae-b610-6791a9f9ca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1007f-33ed-4385-8bda-ec24d127681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467c28-9bc8-42ae-b610-6791a9f9ca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B7992C-D3BA-4859-B726-6E4AEBCA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1007f-33ed-4385-8bda-ec24d1276813"/>
    <ds:schemaRef ds:uri="65467c28-9bc8-42ae-b610-6791a9f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D8F5F4-E28F-4407-A78C-2F1735C5CC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7EC5-E8CA-4A38-BB06-644F4646F0B3}">
  <ds:schemaRefs>
    <ds:schemaRef ds:uri="http://schemas.openxmlformats.org/officeDocument/2006/bibliography"/>
  </ds:schemaRefs>
</ds:datastoreItem>
</file>

<file path=customXml/itemProps4.xml><?xml version="1.0" encoding="utf-8"?>
<ds:datastoreItem xmlns:ds="http://schemas.openxmlformats.org/officeDocument/2006/customXml" ds:itemID="{A3FF104A-5FED-4BEF-81B3-D64EFCC783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 Domino</dc:creator>
  <cp:keywords/>
  <dc:description/>
  <cp:lastModifiedBy>m grant</cp:lastModifiedBy>
  <cp:revision>12</cp:revision>
  <cp:lastPrinted>2021-02-15T18:18:00Z</cp:lastPrinted>
  <dcterms:created xsi:type="dcterms:W3CDTF">2021-07-02T18:34:00Z</dcterms:created>
  <dcterms:modified xsi:type="dcterms:W3CDTF">2022-10-04T16:19:00Z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0x010100326F57530EE80A448AAFFEE82A701E62</vt:lpwstr>
  </property>
  <property fmtid="{D5CDD505-2E9C-101B-9397-08002B2CF9AE}" pid="3" name="grammarly_documentId">
    <vt:lpwstr>documentId_410</vt:lpwstr>
  </property>
  <property fmtid="{D5CDD505-2E9C-101B-9397-08002B2CF9AE}" pid="4" name="grammarly_documentContext">
    <vt:lpwstr>{"goals":[],"domain":"general","emotions":[],"dialect":"american"}</vt:lpwstr>
  </property>
</Properties>
</file>