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  <w:rtl/>
        </w:rPr>
        <w:t xml:space="preserve">تقييم وجوب تعيين مسؤول حماية البيانات</w:t>
      </w:r>
    </w:p>
    <w:p>
      <w:pPr>
        <w:bidi/>
      </w:pPr>
      <w:r>
        <w:rPr>
          <w:rtl/>
        </w:rPr>
        <w:t xml:space="preserve">هذا القالب هيكل مسؤولية الجمعية في تعبئته والتحقّق منه واعتماده وتنفيذه. لا يُعدّ معتمداً من STOCHOPS، ولا يُعتبر استشارة قانونية. راجِع المصادر النظامية (SDAIA/PDPL) والمختص.</w:t>
      </w:r>
    </w:p>
    <w:p>
      <w:pPr>
        <w:bidi/>
      </w:pPr>
      <w:r>
        <w:rPr>
          <w:b/>
          <w:rtl/>
        </w:rPr>
        <w:t xml:space="preserve">معايير الوجوب</w:t>
      </w:r>
    </w:p>
    <w:p>
      <w:pPr>
        <w:bidi/>
      </w:pPr>
      <w:r>
        <w:rPr>
          <w:rtl/>
        </w:rPr>
        <w:t xml:space="preserve">[هل ينطبق الالتزام على جمعيتك وفق PDPL ولائحته؟]</w:t>
      </w:r>
    </w:p>
    <w:p>
      <w:pPr>
        <w:bidi/>
      </w:pPr>
      <w:r>
        <w:rPr>
          <w:b/>
          <w:rtl/>
        </w:rPr>
        <w:t xml:space="preserve">النتيجة والمبرر</w:t>
      </w:r>
    </w:p>
    <w:p>
      <w:pPr>
        <w:bidi/>
      </w:pPr>
      <w:r>
        <w:rPr>
          <w:rtl/>
        </w:rPr>
        <w:t xml:space="preserve">[النتيجة بناءً على نشاطك وحجم المعالجة]</w:t>
      </w:r>
    </w:p>
    <w:p>
      <w:pPr>
        <w:bidi/>
      </w:pPr>
      <w:r>
        <w:rPr>
          <w:rtl/>
        </w:rPr>
        <w:t xml:space="preserve">تعليمات: استبدل كل [ ... ] بمحتوى جمعيتك. لا تترك قيماً افتراضية كأنها حقائق. سجّل تاريخ الإعداد والمراجعة والمعتمِد.</w:t>
      </w:r>
    </w:p>
    <w:sectPr>
      <w:bidi/>
    </w:sectPr>
  </w:body>
</w:document>
</file>