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تفويض المستخدمين والصلاحيات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الأدوار والصلاحيات</w:t>
      </w:r>
    </w:p>
    <w:p>
      <w:pPr>
        <w:bidi/>
      </w:pPr>
      <w:r>
        <w:rPr>
          <w:rtl/>
        </w:rPr>
        <w:t xml:space="preserve">[من يملك ماذا — فصل المهام]</w:t>
      </w:r>
    </w:p>
    <w:p>
      <w:pPr>
        <w:bidi/>
      </w:pPr>
      <w:r>
        <w:rPr>
          <w:b/>
          <w:rtl/>
        </w:rPr>
        <w:t xml:space="preserve">الاعتماد والمراجعة الدورية</w:t>
      </w:r>
    </w:p>
    <w:p>
      <w:pPr>
        <w:bidi/>
      </w:pPr>
      <w:r>
        <w:rPr>
          <w:rtl/>
        </w:rPr>
        <w:t xml:space="preserve">[صاحب الصلاحية، دورية المراجعة]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