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Bdr>
          <w:bottom w:val="single" w:sz="24" w:space="1" w:color="1B2A4A"/>
        </w:pBdr>
      </w:pPr>
    </w:p>
    <w:p/>
    <w:p>
      <w:pPr>
        <w:jc w:val="left"/>
      </w:pPr>
      <w:r>
        <w:rPr>
          <w:rFonts w:ascii="Calibri Light" w:hAnsi="Calibri Light"/>
          <w:b w:val="0"/>
          <w:color w:val="1B2A4A"/>
          <w:sz w:val="72"/>
        </w:rPr>
        <w:t>Data Quality Review</w:t>
      </w:r>
    </w:p>
    <w:p>
      <w:pPr>
        <w:jc w:val="left"/>
      </w:pPr>
      <w:r>
        <w:rPr>
          <w:rFonts w:ascii="Calibri Light" w:hAnsi="Calibri Light"/>
          <w:color w:val="2E5C8A"/>
          <w:sz w:val="40"/>
        </w:rPr>
        <w:t>{{CUSTOMER}}</w:t>
      </w:r>
    </w:p>
    <w:p/>
    <w:p/>
    <w:p>
      <w:pPr>
        <w:spacing w:after="40"/>
      </w:pPr>
      <w:r>
        <w:rPr>
          <w:rFonts w:ascii="Calibri" w:hAnsi="Calibri"/>
          <w:b/>
          <w:color w:val="5A5A65"/>
          <w:sz w:val="22"/>
        </w:rPr>
        <w:t xml:space="preserve">Prepared by:  </w:t>
      </w:r>
      <w:r>
        <w:rPr>
          <w:rFonts w:ascii="Calibri" w:hAnsi="Calibri"/>
          <w:color w:val="33333B"/>
          <w:sz w:val="22"/>
        </w:rPr>
        <w:t>{{VENDOR}}</w:t>
      </w:r>
    </w:p>
    <w:p>
      <w:pPr>
        <w:spacing w:after="40"/>
      </w:pPr>
      <w:r>
        <w:rPr>
          <w:rFonts w:ascii="Calibri" w:hAnsi="Calibri"/>
          <w:b/>
          <w:color w:val="5A5A65"/>
          <w:sz w:val="22"/>
        </w:rPr>
        <w:t xml:space="preserve">Date:  </w:t>
      </w:r>
      <w:r>
        <w:rPr>
          <w:rFonts w:ascii="Calibri" w:hAnsi="Calibri"/>
          <w:color w:val="33333B"/>
          <w:sz w:val="22"/>
        </w:rPr>
        <w:t>{{DATE}}</w:t>
      </w:r>
    </w:p>
    <w:p>
      <w:pPr>
        <w:spacing w:after="40"/>
      </w:pPr>
      <w:r>
        <w:rPr>
          <w:rFonts w:ascii="Calibri" w:hAnsi="Calibri"/>
          <w:b/>
          <w:color w:val="5A5A65"/>
          <w:sz w:val="22"/>
        </w:rPr>
        <w:t xml:space="preserve">Classification:  </w:t>
      </w:r>
      <w:r>
        <w:rPr>
          <w:rFonts w:ascii="Calibri" w:hAnsi="Calibri"/>
          <w:color w:val="33333B"/>
          <w:sz w:val="22"/>
        </w:rPr>
        <w:t>Confidential</w:t>
      </w:r>
    </w:p>
    <w:p/>
    <w:p>
      <w:pPr>
        <w:pBdr>
          <w:bottom w:val="single" w:sz="8" w:space="1" w:color="2E5C8A"/>
        </w:pBdr>
      </w:pPr>
    </w:p>
    <w:p>
      <w:r>
        <w:br w:type="page"/>
      </w:r>
    </w:p>
    <w:p>
      <w:pPr>
        <w:pStyle w:val="Heading1"/>
      </w:pPr>
      <w: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D0D0D8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 Light" w:hAnsi="Calibri Light"/>
                <w:b/>
                <w:color w:val="1B2A4A"/>
                <w:sz w:val="56"/>
              </w:rPr>
              <w:t>{{N}}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 Light" w:hAnsi="Calibri Light"/>
                <w:b/>
                <w:color w:val="1B2A4A"/>
                <w:sz w:val="56"/>
              </w:rPr>
              <w:t>{{N}}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 Light" w:hAnsi="Calibri Light"/>
                <w:b/>
                <w:color w:val="1B2A4A"/>
                <w:sz w:val="56"/>
              </w:rPr>
              <w:t>{{N}}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 Light" w:hAnsi="Calibri Light"/>
                <w:b/>
                <w:color w:val="1B2A4A"/>
                <w:sz w:val="56"/>
              </w:rPr>
              <w:t>{{N}}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color w:val="5A5A65"/>
                <w:sz w:val="18"/>
              </w:rPr>
              <w:t>Total Issues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color w:val="5A5A65"/>
                <w:sz w:val="18"/>
              </w:rPr>
              <w:t>Open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color w:val="5A5A65"/>
                <w:sz w:val="18"/>
              </w:rPr>
              <w:t>Resolved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color w:val="5A5A65"/>
                <w:sz w:val="18"/>
              </w:rPr>
              <w:t>Critical</w:t>
            </w:r>
          </w:p>
        </w:tc>
      </w:tr>
    </w:tbl>
    <w:p>
      <w:pPr>
        <w:spacing w:after="160"/>
      </w:pPr>
    </w:p>
    <w:p>
      <w:r>
        <w:t>This document presents the Data Quality Review findings for the {{CUSTOMER}} data migration project. A total of {{N}} issues were identified during source data profiling and validation.</w:t>
      </w:r>
    </w:p>
    <w:p>
      <w:pPr>
        <w:spacing w:before="160" w:after="160"/>
        <w:pBdr>
          <w:left w:val="single" w:sz="24" w:space="8" w:color="C0392B"/>
        </w:pBdr>
        <w:shd w:fill="FFEBEE" w:val="clear"/>
        <w:ind w:left="180" w:right="180"/>
      </w:pPr>
      <w:r>
        <w:rPr>
          <w:rFonts w:ascii="Calibri" w:hAnsi="Calibri"/>
          <w:color w:val="33333B"/>
          <w:sz w:val="20"/>
        </w:rPr>
        <w:t>{{N}} critical/blocker issue(s) require resolution before migration can proceed.</w:t>
      </w:r>
    </w:p>
    <w:p>
      <w:pPr>
        <w:spacing w:before="240" w:after="240"/>
        <w:pBdr>
          <w:bottom w:val="single" w:sz="4" w:space="1" w:color="D0D0D8"/>
        </w:pBdr>
      </w:pPr>
    </w:p>
    <w:p>
      <w:pPr>
        <w:pStyle w:val="Heading2"/>
      </w:pPr>
      <w:r>
        <w:t>Issue Summary by Severity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8"/>
          <w:left w:val="single" w:sz="4" w:space="0" w:color="D0D0D8"/>
          <w:bottom w:val="single" w:sz="4" w:space="0" w:color="D0D0D8"/>
          <w:right w:val="single" w:sz="4" w:space="0" w:color="D0D0D8"/>
          <w:insideH w:val="single" w:sz="2" w:space="0" w:color="E0E0E5"/>
          <w:insideV w:val="single" w:sz="2" w:space="0" w:color="E0E0E5"/>
        </w:tblBorders>
      </w:tblPr>
      <w:tblGrid>
        <w:gridCol w:w="2835"/>
        <w:gridCol w:w="1701"/>
        <w:gridCol w:w="1701"/>
      </w:tblGrid>
      <w:tr>
        <w:tc>
          <w:tcPr>
            <w:tcW w:type="dxa" w:w="3024"/>
            <w:shd w:fill="1B2A4A" w:val="clear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3024"/>
            <w:shd w:fill="1B2A4A" w:val="clear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Count</w:t>
            </w:r>
          </w:p>
        </w:tc>
        <w:tc>
          <w:tcPr>
            <w:tcW w:type="dxa" w:w="3024"/>
            <w:shd w:fill="1B2A4A" w:val="clear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Open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5C8A"/>
                <w:sz w:val="19"/>
              </w:rPr>
              <w:t>Critical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{{N}}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{{N}}</w:t>
            </w:r>
          </w:p>
        </w:tc>
      </w:tr>
      <w:tr>
        <w:tc>
          <w:tcPr>
            <w:tcW w:type="dxa" w:w="3024"/>
            <w:shd w:fill="F5F5F7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5C8A"/>
                <w:sz w:val="19"/>
              </w:rPr>
              <w:t>High</w:t>
            </w:r>
          </w:p>
        </w:tc>
        <w:tc>
          <w:tcPr>
            <w:tcW w:type="dxa" w:w="3024"/>
            <w:shd w:fill="F5F5F7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{{N}}</w:t>
            </w:r>
          </w:p>
        </w:tc>
        <w:tc>
          <w:tcPr>
            <w:tcW w:type="dxa" w:w="3024"/>
            <w:shd w:fill="F5F5F7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{{N}}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5C8A"/>
                <w:sz w:val="19"/>
              </w:rPr>
              <w:t>Medium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{{N}}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{{N}}</w:t>
            </w:r>
          </w:p>
        </w:tc>
      </w:tr>
      <w:tr>
        <w:tc>
          <w:tcPr>
            <w:tcW w:type="dxa" w:w="3024"/>
            <w:shd w:fill="F5F5F7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5C8A"/>
                <w:sz w:val="19"/>
              </w:rPr>
              <w:t>Low</w:t>
            </w:r>
          </w:p>
        </w:tc>
        <w:tc>
          <w:tcPr>
            <w:tcW w:type="dxa" w:w="3024"/>
            <w:shd w:fill="F5F5F7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{{N}}</w:t>
            </w:r>
          </w:p>
        </w:tc>
        <w:tc>
          <w:tcPr>
            <w:tcW w:type="dxa" w:w="3024"/>
            <w:shd w:fill="F5F5F7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{{N}}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5C8A"/>
                <w:sz w:val="19"/>
              </w:rPr>
              <w:t>Info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{{N}}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{{N}}</w:t>
            </w:r>
          </w:p>
        </w:tc>
      </w:tr>
    </w:tbl>
    <w:p>
      <w:pPr>
        <w:spacing w:after="120"/>
      </w:pPr>
    </w:p>
    <w:p>
      <w:pPr>
        <w:pStyle w:val="Heading2"/>
      </w:pPr>
      <w:r>
        <w:t>Issue Summary by Treatment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8"/>
          <w:left w:val="single" w:sz="4" w:space="0" w:color="D0D0D8"/>
          <w:bottom w:val="single" w:sz="4" w:space="0" w:color="D0D0D8"/>
          <w:right w:val="single" w:sz="4" w:space="0" w:color="D0D0D8"/>
          <w:insideH w:val="single" w:sz="2" w:space="0" w:color="E0E0E5"/>
          <w:insideV w:val="single" w:sz="2" w:space="0" w:color="E0E0E5"/>
        </w:tblBorders>
      </w:tblPr>
      <w:tblGrid>
        <w:gridCol w:w="4535"/>
        <w:gridCol w:w="1701"/>
      </w:tblGrid>
      <w:tr>
        <w:tc>
          <w:tcPr>
            <w:tcW w:type="dxa" w:w="4536"/>
            <w:shd w:fill="1B2A4A" w:val="clear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Treatment</w:t>
            </w:r>
          </w:p>
        </w:tc>
        <w:tc>
          <w:tcPr>
            <w:tcW w:type="dxa" w:w="4536"/>
            <w:shd w:fill="1B2A4A" w:val="clear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Count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Accept Ignore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{{N}}</w:t>
            </w:r>
          </w:p>
        </w:tc>
      </w:tr>
      <w:tr>
        <w:tc>
          <w:tcPr>
            <w:tcW w:type="dxa" w:w="4536"/>
            <w:shd w:fill="F5F5F7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Fix In Flight</w:t>
            </w:r>
          </w:p>
        </w:tc>
        <w:tc>
          <w:tcPr>
            <w:tcW w:type="dxa" w:w="4536"/>
            <w:shd w:fill="F5F5F7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{{N}}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Needs Decision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{{N}}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Issues Detail</w:t>
      </w:r>
    </w:p>
    <w:p>
      <w:r>
        <w:rPr>
          <w:color w:val="5A5A65"/>
        </w:rPr>
        <w:t>Each issue is documented with its source, impact, and recommended treatment.</w:t>
      </w:r>
    </w:p>
    <w:p>
      <w:pPr>
        <w:pStyle w:val="Heading2"/>
      </w:pPr>
      <w:r>
        <w:rPr>
          <w:color w:val="E67E22"/>
        </w:rPr>
        <w:t>{{DQI-001}} — {{Issue description}}</w:t>
      </w:r>
      <w:r>
        <w:rPr>
          <w:rFonts w:ascii="Calibri" w:hAnsi="Calibri"/>
          <w:b/>
          <w:color w:val="E67E22"/>
          <w:sz w:val="18"/>
        </w:rPr>
        <w:t xml:space="preserve">  [HIGH]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0D8"/>
          <w:left w:val="single" w:sz="4" w:space="0" w:color="D0D0D8"/>
          <w:bottom w:val="single" w:sz="4" w:space="0" w:color="D0D0D8"/>
          <w:right w:val="single" w:sz="4" w:space="0" w:color="D0D0D8"/>
          <w:insideH w:val="single" w:sz="2" w:space="0" w:color="E0E0E5"/>
          <w:insideV w:val="single" w:sz="2" w:space="0" w:color="E0E0E5"/>
        </w:tblBorders>
      </w:tblPr>
      <w:tblGrid>
        <w:gridCol w:w="2268"/>
        <w:gridCol w:w="6803"/>
      </w:tblGrid>
      <w:tr>
        <w:tc>
          <w:tcPr>
            <w:tcW w:type="dxa" w:w="4536"/>
            <w:shd w:fill="E8F1F8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5A5A65"/>
                <w:sz w:val="19"/>
              </w:rPr>
              <w:t>Category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{{coded_values}}</w:t>
            </w:r>
          </w:p>
        </w:tc>
      </w:tr>
      <w:tr>
        <w:tc>
          <w:tcPr>
            <w:tcW w:type="dxa" w:w="4536"/>
            <w:shd w:fill="E8F1F8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5A5A65"/>
                <w:sz w:val="19"/>
              </w:rPr>
              <w:t>Source Object</w:t>
            </w:r>
          </w:p>
        </w:tc>
        <w:tc>
          <w:tcPr>
            <w:tcW w:type="dxa" w:w="4536"/>
            <w:shd w:fill="F5F5F7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{{LAYER_NAME}}</w:t>
            </w:r>
          </w:p>
        </w:tc>
      </w:tr>
      <w:tr>
        <w:tc>
          <w:tcPr>
            <w:tcW w:type="dxa" w:w="4536"/>
            <w:shd w:fill="E8F1F8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5A5A65"/>
                <w:sz w:val="19"/>
              </w:rPr>
              <w:t>Source Attribute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{{ATTRIBUTE_NAME}}</w:t>
            </w:r>
          </w:p>
        </w:tc>
      </w:tr>
      <w:tr>
        <w:tc>
          <w:tcPr>
            <w:tcW w:type="dxa" w:w="4536"/>
            <w:shd w:fill="E8F1F8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5A5A65"/>
                <w:sz w:val="19"/>
              </w:rPr>
              <w:t>Severity</w:t>
            </w:r>
          </w:p>
        </w:tc>
        <w:tc>
          <w:tcPr>
            <w:tcW w:type="dxa" w:w="4536"/>
            <w:shd w:fill="F5F5F7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{{High}}</w:t>
            </w:r>
          </w:p>
        </w:tc>
      </w:tr>
      <w:tr>
        <w:tc>
          <w:tcPr>
            <w:tcW w:type="dxa" w:w="4536"/>
            <w:shd w:fill="E8F1F8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5A5A65"/>
                <w:sz w:val="19"/>
              </w:rPr>
              <w:t>Affected Count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{{N}}</w:t>
            </w:r>
          </w:p>
        </w:tc>
      </w:tr>
      <w:tr>
        <w:tc>
          <w:tcPr>
            <w:tcW w:type="dxa" w:w="4536"/>
            <w:shd w:fill="E8F1F8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5A5A65"/>
                <w:sz w:val="19"/>
              </w:rPr>
              <w:t>Affected %</w:t>
            </w:r>
          </w:p>
        </w:tc>
        <w:tc>
          <w:tcPr>
            <w:tcW w:type="dxa" w:w="4536"/>
            <w:shd w:fill="F5F5F7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{{N}}%</w:t>
            </w:r>
          </w:p>
        </w:tc>
      </w:tr>
      <w:tr>
        <w:tc>
          <w:tcPr>
            <w:tcW w:type="dxa" w:w="4536"/>
            <w:shd w:fill="E8F1F8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5A5A65"/>
                <w:sz w:val="19"/>
              </w:rPr>
              <w:t>Examples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{{val1, val2, val3}}</w:t>
            </w:r>
          </w:p>
        </w:tc>
      </w:tr>
      <w:tr>
        <w:tc>
          <w:tcPr>
            <w:tcW w:type="dxa" w:w="4536"/>
            <w:shd w:fill="E8F1F8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5A5A65"/>
                <w:sz w:val="19"/>
              </w:rPr>
              <w:t>Treatment</w:t>
            </w:r>
          </w:p>
        </w:tc>
        <w:tc>
          <w:tcPr>
            <w:tcW w:type="dxa" w:w="4536"/>
            <w:shd w:fill="F5F5F7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{{Fix In Flight}}</w:t>
            </w:r>
          </w:p>
        </w:tc>
      </w:tr>
      <w:tr>
        <w:tc>
          <w:tcPr>
            <w:tcW w:type="dxa" w:w="4536"/>
            <w:shd w:fill="E8F1F8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5A5A65"/>
                <w:sz w:val="19"/>
              </w:rPr>
              <w:t>Status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{{Open}}</w:t>
            </w:r>
          </w:p>
        </w:tc>
      </w:tr>
      <w:tr>
        <w:tc>
          <w:tcPr>
            <w:tcW w:type="dxa" w:w="4536"/>
            <w:shd w:fill="E8F1F8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5A5A65"/>
                <w:sz w:val="19"/>
              </w:rPr>
              <w:t>Owner</w:t>
            </w:r>
          </w:p>
        </w:tc>
        <w:tc>
          <w:tcPr>
            <w:tcW w:type="dxa" w:w="4536"/>
            <w:shd w:fill="F5F5F7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{{migration_engineer}}</w:t>
            </w:r>
          </w:p>
        </w:tc>
      </w:tr>
    </w:tbl>
    <w:p>
      <w:pPr>
        <w:spacing w:after="80"/>
      </w:pPr>
    </w:p>
    <w:p>
      <w:pPr>
        <w:spacing w:before="160" w:after="160"/>
        <w:pBdr>
          <w:left w:val="single" w:sz="24" w:space="8" w:color="E67E22"/>
        </w:pBdr>
        <w:shd w:fill="FFF3E0" w:val="clear"/>
        <w:ind w:left="180" w:right="180"/>
      </w:pPr>
      <w:r>
        <w:rPr>
          <w:rFonts w:ascii="Calibri" w:hAnsi="Calibri"/>
          <w:color w:val="33333B"/>
          <w:sz w:val="20"/>
        </w:rPr>
        <w:t>Impact if unresolved: {{description of downstream consequences}}</w:t>
      </w:r>
    </w:p>
    <w:p>
      <w:pPr>
        <w:spacing w:before="160" w:after="160"/>
        <w:pBdr>
          <w:left w:val="single" w:sz="24" w:space="8" w:color="27AE60"/>
        </w:pBdr>
        <w:shd w:fill="E8F5E9" w:val="clear"/>
        <w:ind w:left="180" w:right="180"/>
      </w:pPr>
      <w:r>
        <w:rPr>
          <w:rFonts w:ascii="Calibri" w:hAnsi="Calibri"/>
          <w:color w:val="33333B"/>
          <w:sz w:val="20"/>
        </w:rPr>
        <w:t>Resolution: {{description of fix applied}}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65"/>
        <w:sz w:val="16"/>
      </w:rPr>
      <w:t xml:space="preserve">Page </w:t>
    </w:r>
    <w:r>
      <w:fldChar w:fldCharType="begin"/>
    </w:r>
    <w:r>
      <w:rPr>
        <w:rFonts w:ascii="Calibri" w:hAnsi="Calibri"/>
        <w:color w:val="5A5A65"/>
        <w:sz w:val="16"/>
      </w:rPr>
      <w:instrText xml:space="preserve"> PAGE </w:instrText>
    </w:r>
    <w:r>
      <w:fldChar w:fldCharType="end"/>
    </w:r>
    <w:r>
      <w:rPr>
        <w:rFonts w:ascii="Calibri" w:hAnsi="Calibri"/>
        <w:color w:val="5A5A65"/>
        <w:sz w:val="16"/>
      </w:rPr>
      <w:t xml:space="preserve"> of </w:t>
    </w:r>
    <w:r>
      <w:fldChar w:fldCharType="begin"/>
    </w:r>
    <w:r>
      <w:rPr>
        <w:rFonts w:ascii="Calibri" w:hAnsi="Calibri"/>
        <w:color w:val="5A5A65"/>
        <w:sz w:val="16"/>
      </w:rPr>
      <w:instrText xml:space="preserve"> NUMPAGES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0D0D8"/>
      </w:pBdr>
    </w:pPr>
    <w:r>
      <w:rPr>
        <w:rFonts w:ascii="Calibri" w:hAnsi="Calibri"/>
        <w:color w:val="5A5A65"/>
        <w:sz w:val="16"/>
      </w:rPr>
      <w:t>Data Quality Review</w:t>
    </w:r>
    <w:r>
      <w:rPr>
        <w:rFonts w:ascii="Calibri" w:hAnsi="Calibri"/>
        <w:color w:val="D0D0D8"/>
        <w:sz w:val="16"/>
      </w:rPr>
      <w:t xml:space="preserve">  |  {{CUSTOMER}}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 Light" w:hAnsi="Calibri Light"/>
      <w:b w:val="0"/>
      <w:bCs/>
      <w:color w:val="1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 Light" w:hAnsi="Calibri Light"/>
      <w:b w:val="0"/>
      <w:bCs/>
      <w:color w:val="2E5C8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5C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33333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