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8461" w14:textId="45B89778" w:rsidR="00DF07D9" w:rsidRDefault="00225A1C">
      <w:r>
        <w:rPr>
          <w:noProof/>
        </w:rPr>
        <w:drawing>
          <wp:inline distT="0" distB="0" distL="0" distR="0" wp14:anchorId="153B5E8F" wp14:editId="4F20B39D">
            <wp:extent cx="5939790" cy="2409190"/>
            <wp:effectExtent l="0" t="0" r="3810" b="0"/>
            <wp:docPr id="770826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1EB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453CD1" wp14:editId="543C5450">
                <wp:simplePos x="0" y="0"/>
                <wp:positionH relativeFrom="margin">
                  <wp:align>center</wp:align>
                </wp:positionH>
                <wp:positionV relativeFrom="page">
                  <wp:posOffset>3813022</wp:posOffset>
                </wp:positionV>
                <wp:extent cx="7029450" cy="2226310"/>
                <wp:effectExtent l="0" t="0" r="19050" b="14605"/>
                <wp:wrapTopAndBottom/>
                <wp:docPr id="1685799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0" cy="2226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94A1B" w14:textId="1D7C9F39" w:rsidR="005B41EB" w:rsidRDefault="005B41EB" w:rsidP="00950AC6">
                            <w:r>
                              <w:t xml:space="preserve">Figure S1. </w:t>
                            </w:r>
                            <w:r w:rsidR="007B56F0">
                              <w:t xml:space="preserve">Comparison of 3 </w:t>
                            </w:r>
                            <w:r w:rsidR="00D85480">
                              <w:t>variations</w:t>
                            </w:r>
                            <w:r w:rsidR="007B56F0">
                              <w:t xml:space="preserve"> in the linear regression model</w:t>
                            </w:r>
                            <w:r w:rsidR="00740ABD">
                              <w:t xml:space="preserve"> (</w:t>
                            </w:r>
                            <w:r w:rsidR="00740ABD" w:rsidRPr="00D83758">
                              <w:rPr>
                                <w:color w:val="C00000"/>
                              </w:rPr>
                              <w:t>L</w:t>
                            </w:r>
                            <w:r w:rsidR="00816442" w:rsidRPr="00D83758">
                              <w:rPr>
                                <w:color w:val="C00000"/>
                              </w:rPr>
                              <w:t>R</w:t>
                            </w:r>
                            <w:r w:rsidR="00740ABD">
                              <w:t>)</w:t>
                            </w:r>
                            <w:r w:rsidR="00D85480">
                              <w:t xml:space="preserve"> analysis approach in extracting viral production rates. a) No significant difference</w:t>
                            </w:r>
                            <w:r w:rsidR="00740ABD">
                              <w:t>s</w:t>
                            </w:r>
                            <w:r w:rsidR="00D85480">
                              <w:t xml:space="preserve"> were observed </w:t>
                            </w:r>
                            <w:r w:rsidR="00225A1C">
                              <w:t>in</w:t>
                            </w:r>
                            <w:r w:rsidR="00D85480">
                              <w:t xml:space="preserve"> </w:t>
                            </w:r>
                            <w:r w:rsidR="00AA768B">
                              <w:t xml:space="preserve">lytic and </w:t>
                            </w:r>
                            <w:r w:rsidR="009D5040">
                              <w:t>induced</w:t>
                            </w:r>
                            <w:r w:rsidR="00AA768B">
                              <w:t xml:space="preserve"> viral production estimates between the three variants. b) Significant difference</w:t>
                            </w:r>
                            <w:r w:rsidR="00557FE1">
                              <w:t>s</w:t>
                            </w:r>
                            <w:r w:rsidR="00AA768B">
                              <w:t xml:space="preserve"> </w:t>
                            </w:r>
                            <w:r w:rsidR="00225A1C">
                              <w:t>(</w:t>
                            </w:r>
                            <w:r w:rsidR="00AA768B">
                              <w:t xml:space="preserve">p &lt; 0.0001) were observed in the standard errors calculated between the three </w:t>
                            </w:r>
                            <w:r w:rsidR="00740ABD">
                              <w:t>L</w:t>
                            </w:r>
                            <w:r w:rsidR="00225A1C">
                              <w:t xml:space="preserve">R </w:t>
                            </w:r>
                            <w:r w:rsidR="00740ABD">
                              <w:t>variants</w:t>
                            </w:r>
                            <w:r w:rsidR="00225A1C">
                              <w:t xml:space="preserve"> used to estimate both lytic and induced viral production rates</w:t>
                            </w:r>
                            <w:r w:rsidR="00740ABD"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453C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00.25pt;width:553.5pt;height:175.3pt;z-index:2516664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">
                <v:textbox style="mso-fit-shape-to-text:t">
                  <w:txbxContent>
                    <w:p w14:paraId="01094A1B" w14:textId="1D7C9F39" w:rsidR="005B41EB" w:rsidRDefault="005B41EB" w:rsidP="00950AC6">
                      <w:r>
                        <w:t xml:space="preserve">Figure S1. </w:t>
                      </w:r>
                      <w:r w:rsidR="007B56F0">
                        <w:t xml:space="preserve">Comparison of 3 </w:t>
                      </w:r>
                      <w:r w:rsidR="00D85480">
                        <w:t>variations</w:t>
                      </w:r>
                      <w:r w:rsidR="007B56F0">
                        <w:t xml:space="preserve"> in the linear regression model</w:t>
                      </w:r>
                      <w:r w:rsidR="00740ABD">
                        <w:t xml:space="preserve"> (</w:t>
                      </w:r>
                      <w:r w:rsidR="00740ABD" w:rsidRPr="00D83758">
                        <w:rPr>
                          <w:color w:val="C00000"/>
                        </w:rPr>
                        <w:t>L</w:t>
                      </w:r>
                      <w:r w:rsidR="00816442" w:rsidRPr="00D83758">
                        <w:rPr>
                          <w:color w:val="C00000"/>
                        </w:rPr>
                        <w:t>R</w:t>
                      </w:r>
                      <w:r w:rsidR="00740ABD">
                        <w:t>)</w:t>
                      </w:r>
                      <w:r w:rsidR="00D85480">
                        <w:t xml:space="preserve"> analysis approach in extracting viral production rates. a) No significant difference</w:t>
                      </w:r>
                      <w:r w:rsidR="00740ABD">
                        <w:t>s</w:t>
                      </w:r>
                      <w:r w:rsidR="00D85480">
                        <w:t xml:space="preserve"> were observed </w:t>
                      </w:r>
                      <w:r w:rsidR="00225A1C">
                        <w:t>in</w:t>
                      </w:r>
                      <w:r w:rsidR="00D85480">
                        <w:t xml:space="preserve"> </w:t>
                      </w:r>
                      <w:r w:rsidR="00AA768B">
                        <w:t xml:space="preserve">lytic and </w:t>
                      </w:r>
                      <w:r w:rsidR="009D5040">
                        <w:t>induced</w:t>
                      </w:r>
                      <w:r w:rsidR="00AA768B">
                        <w:t xml:space="preserve"> viral production estimates between the three variants. b) Significant difference</w:t>
                      </w:r>
                      <w:r w:rsidR="00557FE1">
                        <w:t>s</w:t>
                      </w:r>
                      <w:r w:rsidR="00AA768B">
                        <w:t xml:space="preserve"> </w:t>
                      </w:r>
                      <w:r w:rsidR="00225A1C">
                        <w:t>(</w:t>
                      </w:r>
                      <w:r w:rsidR="00AA768B">
                        <w:t xml:space="preserve">p &lt; 0.0001) were observed in the standard errors calculated between the three </w:t>
                      </w:r>
                      <w:r w:rsidR="00740ABD">
                        <w:t>L</w:t>
                      </w:r>
                      <w:r w:rsidR="00225A1C">
                        <w:t xml:space="preserve">R </w:t>
                      </w:r>
                      <w:r w:rsidR="00740ABD">
                        <w:t>variants</w:t>
                      </w:r>
                      <w:r w:rsidR="00225A1C">
                        <w:t xml:space="preserve"> used to estimate both lytic and induced viral production rates</w:t>
                      </w:r>
                      <w:r w:rsidR="00740ABD">
                        <w:t xml:space="preserve">. 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518CE89" w14:textId="5CDCE3BE" w:rsidR="00AB50D2" w:rsidRDefault="00DF07D9">
      <w:r>
        <w:br w:type="page"/>
      </w:r>
    </w:p>
    <w:p w14:paraId="3B0228E6" w14:textId="4F3B65E1" w:rsidR="00431CB8" w:rsidRDefault="00557576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F19B56A" wp14:editId="4FEF0C1E">
            <wp:simplePos x="0" y="0"/>
            <wp:positionH relativeFrom="column">
              <wp:posOffset>1593850</wp:posOffset>
            </wp:positionH>
            <wp:positionV relativeFrom="page">
              <wp:posOffset>546100</wp:posOffset>
            </wp:positionV>
            <wp:extent cx="2705100" cy="2628900"/>
            <wp:effectExtent l="0" t="0" r="0" b="0"/>
            <wp:wrapTopAndBottom/>
            <wp:docPr id="19917514" name="Picture 5" descr="A graph of a graph showing a comparison of a number of indicat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14" name="Picture 5" descr="A graph of a graph showing a comparison of a number of indicato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1CB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C3980B4" wp14:editId="6C2E679E">
                <wp:simplePos x="0" y="0"/>
                <wp:positionH relativeFrom="margin">
                  <wp:align>center</wp:align>
                </wp:positionH>
                <wp:positionV relativeFrom="page">
                  <wp:posOffset>3561317</wp:posOffset>
                </wp:positionV>
                <wp:extent cx="7029450" cy="2226310"/>
                <wp:effectExtent l="0" t="0" r="19050" b="27305"/>
                <wp:wrapTopAndBottom/>
                <wp:docPr id="818510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0" cy="2226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09601" w14:textId="5A4DEF53" w:rsidR="005F3582" w:rsidRDefault="005F3582" w:rsidP="005F3582">
                            <w:r>
                              <w:t xml:space="preserve">Figure S2. Impact of </w:t>
                            </w:r>
                            <w:r w:rsidR="00392EE1">
                              <w:t>using combined standard error formula (equation 1) and applying a linear mixed effects model</w:t>
                            </w:r>
                            <w:r w:rsidR="00E54915">
                              <w:t xml:space="preserve"> (LMER)</w:t>
                            </w:r>
                            <w:r w:rsidR="00392EE1">
                              <w:t xml:space="preserve"> to extract standard errors of the difference curve when estimating </w:t>
                            </w:r>
                            <w:r w:rsidR="009D5040">
                              <w:t>mitomycin C-induced</w:t>
                            </w:r>
                            <w:r w:rsidR="00392EE1">
                              <w:t xml:space="preserve"> viral production rates using VIPCAL-SE approach. </w:t>
                            </w:r>
                            <w:r w:rsidR="00107D7A">
                              <w:t>S</w:t>
                            </w:r>
                            <w:r>
                              <w:t xml:space="preserve">ignificant differences were observed between </w:t>
                            </w:r>
                            <w:r w:rsidR="00392EE1">
                              <w:t>the two approaches</w:t>
                            </w:r>
                            <w:r w:rsidR="00107D7A">
                              <w:t xml:space="preserve"> (**</w:t>
                            </w:r>
                            <w:r w:rsidR="00D83758">
                              <w:t>*</w:t>
                            </w:r>
                            <w:r w:rsidR="00107D7A">
                              <w:t>* p &lt; 0.0001</w:t>
                            </w:r>
                            <w:r w:rsidR="00D83758">
                              <w:t>)</w:t>
                            </w:r>
                            <w:r w:rsidR="00392EE1"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3980B4" id="_x0000_s1027" type="#_x0000_t202" style="position:absolute;margin-left:0;margin-top:280.4pt;width:553.5pt;height:175.3pt;z-index:2516705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">
                <v:textbox style="mso-fit-shape-to-text:t">
                  <w:txbxContent>
                    <w:p w14:paraId="45B09601" w14:textId="5A4DEF53" w:rsidR="005F3582" w:rsidRDefault="005F3582" w:rsidP="005F3582">
                      <w:r>
                        <w:t xml:space="preserve">Figure S2. Impact of </w:t>
                      </w:r>
                      <w:r w:rsidR="00392EE1">
                        <w:t>using combined standard error formula (equation 1) and applying a linear mixed effects model</w:t>
                      </w:r>
                      <w:r w:rsidR="00E54915">
                        <w:t xml:space="preserve"> (LMER)</w:t>
                      </w:r>
                      <w:r w:rsidR="00392EE1">
                        <w:t xml:space="preserve"> to extract standard errors of the difference curve when estimating </w:t>
                      </w:r>
                      <w:r w:rsidR="009D5040">
                        <w:t>mitomycin C-induced</w:t>
                      </w:r>
                      <w:r w:rsidR="00392EE1">
                        <w:t xml:space="preserve"> viral production rates using VIPCAL-SE approach. </w:t>
                      </w:r>
                      <w:r w:rsidR="00107D7A">
                        <w:t>S</w:t>
                      </w:r>
                      <w:r>
                        <w:t xml:space="preserve">ignificant differences were observed between </w:t>
                      </w:r>
                      <w:r w:rsidR="00392EE1">
                        <w:t>the two approaches</w:t>
                      </w:r>
                      <w:r w:rsidR="00107D7A">
                        <w:t xml:space="preserve"> (**</w:t>
                      </w:r>
                      <w:r w:rsidR="00D83758">
                        <w:t>*</w:t>
                      </w:r>
                      <w:r w:rsidR="00107D7A">
                        <w:t>* p &lt; 0.0001</w:t>
                      </w:r>
                      <w:r w:rsidR="00D83758">
                        <w:t>)</w:t>
                      </w:r>
                      <w:r w:rsidR="00392EE1">
                        <w:t xml:space="preserve">. 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431CB8">
        <w:tab/>
      </w:r>
      <w:r w:rsidR="00431CB8">
        <w:tab/>
      </w:r>
    </w:p>
    <w:p w14:paraId="55560C95" w14:textId="7E6F2621" w:rsidR="008A62A0" w:rsidRPr="008A62A0" w:rsidRDefault="00431CB8" w:rsidP="008A62A0">
      <w:r>
        <w:br w:type="page"/>
      </w:r>
    </w:p>
    <w:p w14:paraId="5E498629" w14:textId="0916B2B5" w:rsidR="004D058A" w:rsidRDefault="0092771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1DA3AAE" wp14:editId="3C8EAC7A">
                <wp:simplePos x="0" y="0"/>
                <wp:positionH relativeFrom="page">
                  <wp:posOffset>315311</wp:posOffset>
                </wp:positionH>
                <wp:positionV relativeFrom="page">
                  <wp:posOffset>4660835</wp:posOffset>
                </wp:positionV>
                <wp:extent cx="7029450" cy="2226310"/>
                <wp:effectExtent l="0" t="0" r="19050" b="20320"/>
                <wp:wrapTopAndBottom/>
                <wp:docPr id="956570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0" cy="2226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CF15F" w14:textId="7A228609" w:rsidR="008A62A0" w:rsidRDefault="008A62A0" w:rsidP="008A62A0">
                            <w:r>
                              <w:t>Figure S</w:t>
                            </w:r>
                            <w:r w:rsidR="005139FA">
                              <w:t>3</w:t>
                            </w:r>
                            <w:r>
                              <w:t xml:space="preserve">. </w:t>
                            </w:r>
                            <w:r w:rsidR="005139FA">
                              <w:t>Comparison of lytic and induced vira</w:t>
                            </w:r>
                            <w:r w:rsidR="00B021F2">
                              <w:t>l</w:t>
                            </w:r>
                            <w:r w:rsidR="005139FA">
                              <w:t xml:space="preserve"> production rates estimated using LR, VIPCAL, and VIPCAL-SE approaches. All </w:t>
                            </w:r>
                            <w:r w:rsidR="00927714">
                              <w:t>approaches provide significantly different estimates</w:t>
                            </w:r>
                            <w:r w:rsidR="00B021F2">
                              <w:t xml:space="preserve"> from each other</w:t>
                            </w:r>
                            <w:r w:rsidR="00927714">
                              <w:t xml:space="preserve"> </w:t>
                            </w:r>
                            <w:r>
                              <w:t xml:space="preserve">(**** p &lt; 0.0001).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DA3AA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4.85pt;margin-top:367pt;width:553.5pt;height:175.3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">
                <v:textbox style="mso-fit-shape-to-text:t">
                  <w:txbxContent>
                    <w:p w14:paraId="6FFCF15F" w14:textId="7A228609" w:rsidR="008A62A0" w:rsidRDefault="008A62A0" w:rsidP="008A62A0">
                      <w:r>
                        <w:t>Figure S</w:t>
                      </w:r>
                      <w:r w:rsidR="005139FA">
                        <w:t>3</w:t>
                      </w:r>
                      <w:r>
                        <w:t xml:space="preserve">. </w:t>
                      </w:r>
                      <w:r w:rsidR="005139FA">
                        <w:t>Comparison of lytic and induced vira</w:t>
                      </w:r>
                      <w:r w:rsidR="00B021F2">
                        <w:t>l</w:t>
                      </w:r>
                      <w:r w:rsidR="005139FA">
                        <w:t xml:space="preserve"> production rates estimated using LR, VIPCAL, and VIPCAL-SE approaches. All </w:t>
                      </w:r>
                      <w:r w:rsidR="00927714">
                        <w:t>approaches provide significantly different estimates</w:t>
                      </w:r>
                      <w:r w:rsidR="00B021F2">
                        <w:t xml:space="preserve"> from each other</w:t>
                      </w:r>
                      <w:r w:rsidR="00927714">
                        <w:t xml:space="preserve"> </w:t>
                      </w:r>
                      <w:r>
                        <w:t xml:space="preserve">(**** p &lt; 0.0001). 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4D058A">
        <w:br w:type="page"/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F3CEDDA" wp14:editId="111E88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9450" cy="3602990"/>
            <wp:effectExtent l="0" t="0" r="0" b="0"/>
            <wp:wrapTopAndBottom/>
            <wp:docPr id="2092325886" name="Picture 5" descr="A diagram of different colore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5886" name="Picture 5" descr="A diagram of different colored sha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AD5A65" w14:textId="1AE3E660" w:rsidR="00431CB8" w:rsidRDefault="0092771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4C66C3F" wp14:editId="3E60EDD0">
                <wp:simplePos x="0" y="0"/>
                <wp:positionH relativeFrom="page">
                  <wp:posOffset>546100</wp:posOffset>
                </wp:positionH>
                <wp:positionV relativeFrom="margin">
                  <wp:posOffset>3239977</wp:posOffset>
                </wp:positionV>
                <wp:extent cx="7029450" cy="2226310"/>
                <wp:effectExtent l="0" t="0" r="19050" b="14605"/>
                <wp:wrapTopAndBottom/>
                <wp:docPr id="176033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0" cy="2226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8F6FE" w14:textId="72827063" w:rsidR="00EF34C1" w:rsidRDefault="00EF34C1" w:rsidP="00397A24">
                            <w:r>
                              <w:t>Figure S</w:t>
                            </w:r>
                            <w:r w:rsidR="00927714">
                              <w:t>4</w:t>
                            </w:r>
                            <w:r>
                              <w:t xml:space="preserve">. </w:t>
                            </w:r>
                            <w:r w:rsidR="00397A24" w:rsidRPr="00397A24">
                              <w:t>Evolution of mean relative collision rate between bacteria and viruses in VP (no mitomycin C addition) and VPC (mitomycin C) treatments over time</w:t>
                            </w:r>
                            <w:r w:rsidR="00397A24">
                              <w:t xml:space="preserve"> in viral production assays performed in coastal North Sea (CNS), open North Sea (ONS), and </w:t>
                            </w:r>
                            <w:r w:rsidR="00397A24" w:rsidRPr="000E77B1">
                              <w:t>Curaçao Caribbean Sea (CCS)</w:t>
                            </w:r>
                            <w:r w:rsidR="00397A24" w:rsidRPr="00397A24">
                              <w:t xml:space="preserve">. NGTE is the timepoint at which net bacterial generation time in the VP treatment is less than 24 hours. A divergence in mean relative collision rates were observed between the two treatments after NGTE.  </w:t>
                            </w:r>
                            <w:r w:rsidR="00397A24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C66C3F" id="_x0000_s1029" type="#_x0000_t202" style="position:absolute;margin-left:43pt;margin-top:255.1pt;width:553.5pt;height:175.3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">
                <v:textbox style="mso-fit-shape-to-text:t">
                  <w:txbxContent>
                    <w:p w14:paraId="7EC8F6FE" w14:textId="72827063" w:rsidR="00EF34C1" w:rsidRDefault="00EF34C1" w:rsidP="00397A24">
                      <w:r>
                        <w:t>Figure S</w:t>
                      </w:r>
                      <w:r w:rsidR="00927714">
                        <w:t>4</w:t>
                      </w:r>
                      <w:r>
                        <w:t xml:space="preserve">. </w:t>
                      </w:r>
                      <w:r w:rsidR="00397A24" w:rsidRPr="00397A24">
                        <w:t>Evolution of mean relative collision rate between bacteria and viruses in VP (no mitomycin C addition) and VPC (mitomycin C) treatments over time</w:t>
                      </w:r>
                      <w:r w:rsidR="00397A24">
                        <w:t xml:space="preserve"> in viral production assays performed in coastal North Sea (CNS), open North Sea (ONS), and </w:t>
                      </w:r>
                      <w:r w:rsidR="00397A24" w:rsidRPr="000E77B1">
                        <w:t>Curaçao Caribbean Sea (CCS)</w:t>
                      </w:r>
                      <w:r w:rsidR="00397A24" w:rsidRPr="00397A24">
                        <w:t xml:space="preserve">. NGTE is the timepoint at which net bacterial generation time in the VP treatment is less than 24 hours. A divergence in mean relative collision rates were observed between the two treatments after NGTE.  </w:t>
                      </w:r>
                      <w:r w:rsidR="00397A24">
                        <w:t xml:space="preserve"> 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</w:p>
    <w:p w14:paraId="56D8AF10" w14:textId="2AC9CDAB" w:rsidR="00785642" w:rsidRDefault="00B24D9E">
      <w:r>
        <w:rPr>
          <w:noProof/>
        </w:rPr>
        <w:drawing>
          <wp:anchor distT="0" distB="0" distL="114300" distR="114300" simplePos="0" relativeHeight="251678720" behindDoc="0" locked="0" layoutInCell="1" allowOverlap="1" wp14:anchorId="3FC69768" wp14:editId="35F1B064">
            <wp:simplePos x="0" y="0"/>
            <wp:positionH relativeFrom="column">
              <wp:posOffset>-12700</wp:posOffset>
            </wp:positionH>
            <wp:positionV relativeFrom="paragraph">
              <wp:posOffset>0</wp:posOffset>
            </wp:positionV>
            <wp:extent cx="5943600" cy="2791460"/>
            <wp:effectExtent l="0" t="0" r="0" b="8890"/>
            <wp:wrapTopAndBottom/>
            <wp:docPr id="1147624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CE3D4B" w14:textId="2606E008" w:rsidR="00785642" w:rsidRDefault="00785642"/>
    <w:p w14:paraId="0EBBDAF6" w14:textId="77777777" w:rsidR="00B24D9E" w:rsidRDefault="00B24D9E"/>
    <w:p w14:paraId="67EF419F" w14:textId="77777777" w:rsidR="00B24D9E" w:rsidRDefault="00B24D9E"/>
    <w:p w14:paraId="2ADB4F7E" w14:textId="77777777" w:rsidR="00B24D9E" w:rsidRDefault="00B24D9E"/>
    <w:p w14:paraId="284DF89C" w14:textId="77777777" w:rsidR="00B24D9E" w:rsidRDefault="00B24D9E"/>
    <w:p w14:paraId="14048AF9" w14:textId="77777777" w:rsidR="00B24D9E" w:rsidRDefault="00B24D9E"/>
    <w:p w14:paraId="7267FAAA" w14:textId="77777777" w:rsidR="00B24D9E" w:rsidRDefault="00B24D9E"/>
    <w:p w14:paraId="47ADD846" w14:textId="77777777" w:rsidR="00B24D9E" w:rsidRDefault="00B24D9E"/>
    <w:p w14:paraId="32892F32" w14:textId="77777777" w:rsidR="00B24D9E" w:rsidRDefault="00B24D9E"/>
    <w:p w14:paraId="7A71737C" w14:textId="77777777" w:rsidR="00B24D9E" w:rsidRDefault="00B24D9E"/>
    <w:p w14:paraId="557A2E16" w14:textId="77777777" w:rsidR="00B24D9E" w:rsidRDefault="00B24D9E"/>
    <w:p w14:paraId="787D8B46" w14:textId="77777777" w:rsidR="00B24D9E" w:rsidRDefault="00B24D9E"/>
    <w:p w14:paraId="70CCBF62" w14:textId="04A5EBCA" w:rsidR="00DF07D9" w:rsidRDefault="00DF07D9"/>
    <w:sectPr w:rsidR="00DF0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B0"/>
    <w:rsid w:val="00030D06"/>
    <w:rsid w:val="000E77B1"/>
    <w:rsid w:val="00107D7A"/>
    <w:rsid w:val="00141A61"/>
    <w:rsid w:val="001445B0"/>
    <w:rsid w:val="001E0667"/>
    <w:rsid w:val="00205B82"/>
    <w:rsid w:val="00225A1C"/>
    <w:rsid w:val="00274D4D"/>
    <w:rsid w:val="002A3AB6"/>
    <w:rsid w:val="00307BBD"/>
    <w:rsid w:val="00392EE1"/>
    <w:rsid w:val="00397A24"/>
    <w:rsid w:val="003A0F5B"/>
    <w:rsid w:val="003D37AA"/>
    <w:rsid w:val="00431CB8"/>
    <w:rsid w:val="004D058A"/>
    <w:rsid w:val="005139FA"/>
    <w:rsid w:val="00557576"/>
    <w:rsid w:val="00557FE1"/>
    <w:rsid w:val="005A29D6"/>
    <w:rsid w:val="005B41EB"/>
    <w:rsid w:val="005F3582"/>
    <w:rsid w:val="00632AC5"/>
    <w:rsid w:val="006D578E"/>
    <w:rsid w:val="007115D5"/>
    <w:rsid w:val="00740ABD"/>
    <w:rsid w:val="00785642"/>
    <w:rsid w:val="007B56F0"/>
    <w:rsid w:val="007D7C94"/>
    <w:rsid w:val="00816442"/>
    <w:rsid w:val="008A62A0"/>
    <w:rsid w:val="008B794A"/>
    <w:rsid w:val="008F5725"/>
    <w:rsid w:val="009209B5"/>
    <w:rsid w:val="00927714"/>
    <w:rsid w:val="00950AC6"/>
    <w:rsid w:val="00966335"/>
    <w:rsid w:val="009C6D3D"/>
    <w:rsid w:val="009D5040"/>
    <w:rsid w:val="00A01EEA"/>
    <w:rsid w:val="00A853D7"/>
    <w:rsid w:val="00AA768B"/>
    <w:rsid w:val="00AB50D2"/>
    <w:rsid w:val="00AB5F6E"/>
    <w:rsid w:val="00AF0D5C"/>
    <w:rsid w:val="00B021F2"/>
    <w:rsid w:val="00B24D9E"/>
    <w:rsid w:val="00CD3024"/>
    <w:rsid w:val="00D073AB"/>
    <w:rsid w:val="00D3701C"/>
    <w:rsid w:val="00D561A9"/>
    <w:rsid w:val="00D83758"/>
    <w:rsid w:val="00D85480"/>
    <w:rsid w:val="00DE6ECF"/>
    <w:rsid w:val="00DF07D9"/>
    <w:rsid w:val="00DF7A25"/>
    <w:rsid w:val="00E01721"/>
    <w:rsid w:val="00E54915"/>
    <w:rsid w:val="00E933FC"/>
    <w:rsid w:val="00EB4982"/>
    <w:rsid w:val="00EE64CD"/>
    <w:rsid w:val="00EF34C1"/>
    <w:rsid w:val="00F22B6D"/>
    <w:rsid w:val="00F42BB5"/>
    <w:rsid w:val="00FE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5C5A"/>
  <w15:chartTrackingRefBased/>
  <w15:docId w15:val="{94E13A92-4AA0-45A8-A8F5-726B1EAC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libriHeading">
    <w:name w:val="Calibri Heading"/>
    <w:basedOn w:val="Normal"/>
    <w:link w:val="CalibriHeadingChar"/>
    <w:qFormat/>
    <w:rsid w:val="008B794A"/>
    <w:rPr>
      <w:b/>
      <w:kern w:val="0"/>
      <w14:ligatures w14:val="none"/>
    </w:rPr>
  </w:style>
  <w:style w:type="character" w:customStyle="1" w:styleId="CalibriHeadingChar">
    <w:name w:val="Calibri Heading Char"/>
    <w:basedOn w:val="DefaultParagraphFont"/>
    <w:link w:val="CalibriHeading"/>
    <w:rsid w:val="008B794A"/>
    <w:rPr>
      <w:b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4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5B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66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63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63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3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33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A62A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5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Hisham Shaikh</dc:creator>
  <cp:keywords/>
  <dc:description/>
  <cp:lastModifiedBy>Mohammed Hisham Shaikh</cp:lastModifiedBy>
  <cp:revision>53</cp:revision>
  <dcterms:created xsi:type="dcterms:W3CDTF">2024-09-05T11:50:00Z</dcterms:created>
  <dcterms:modified xsi:type="dcterms:W3CDTF">2025-06-26T12:07:00Z</dcterms:modified>
</cp:coreProperties>
</file>