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STATUT DE L’ASSOCIATION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POUR LE DEVELOPPEMENT DU NUMERIQUE EN AFRIQUE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color w:val="0070c0"/>
          <w:sz w:val="32"/>
          <w:szCs w:val="32"/>
        </w:rPr>
      </w:pPr>
      <w:r w:rsidDel="00000000" w:rsidR="00000000" w:rsidRPr="00000000">
        <w:rPr>
          <w:color w:val="0070c0"/>
          <w:sz w:val="32"/>
          <w:szCs w:val="32"/>
          <w:rtl w:val="0"/>
        </w:rPr>
        <w:t xml:space="preserve">ETABLIE en France (En abrégé APNA-France) </w:t>
      </w:r>
    </w:p>
    <w:p w:rsidR="00000000" w:rsidDel="00000000" w:rsidP="00000000" w:rsidRDefault="00000000" w:rsidRPr="00000000" w14:paraId="0000000D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Août 2023</w:t>
      </w:r>
    </w:p>
    <w:p w:rsidR="00000000" w:rsidDel="00000000" w:rsidP="00000000" w:rsidRDefault="00000000" w:rsidRPr="00000000" w14:paraId="0000000F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ARTICLE 1 - NOM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ARTICLE 2 – OBJET, AFFILIATION ET MOYENS D’ACTION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ARTICLE 3 - DUREE ET SIEGE SOCIAL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ARTICLE 4 - ADMISSION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ARTICLE 5 - MEMBRE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ARTICLE 6 - RADIATION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ARTICLE 7 – ADMINISTRATION – FONCTIONNEMENT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ARTICLE 8 - ELECTIONS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ARTICLE 9 - ROLE DU PRESIDENT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ARTICLE 10 - RESSOURCES ET COMPTABILITE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ARTICLE 11 – ASSEMBLEES GENERALES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ARTICLE 12 – DISSOLUTION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ARTICLE 13 – REGLEMENT INTERIEUR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2"/>
            </w:tabs>
            <w:spacing w:after="100" w:lineRule="auto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ARTICLE 14 – DECLARATIONS ET PUBLICATION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ARTICLE 1 - NOM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Il est fondé entre les adhérents aux présents statuts une association à but non lucratif régie par la loi du 1</w:t>
      </w:r>
      <w:r w:rsidDel="00000000" w:rsidR="00000000" w:rsidRPr="00000000">
        <w:rPr>
          <w:vertAlign w:val="superscript"/>
          <w:rtl w:val="0"/>
        </w:rPr>
        <w:t xml:space="preserve">er</w:t>
      </w:r>
      <w:r w:rsidDel="00000000" w:rsidR="00000000" w:rsidRPr="00000000">
        <w:rPr>
          <w:rtl w:val="0"/>
        </w:rPr>
        <w:t xml:space="preserve"> juillet 1901 et le décret du 16 août 1901, ayant pour titre :</w:t>
      </w:r>
      <w:r w:rsidDel="00000000" w:rsidR="00000000" w:rsidRPr="00000000">
        <w:rPr>
          <w:i w:val="1"/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  <w:t xml:space="preserve">Association pour la promotion du Numérique en Afrique établie en France abrégé APNA-France</w:t>
        <w:br w:type="textWrapping"/>
      </w:r>
    </w:p>
    <w:p w:rsidR="00000000" w:rsidDel="00000000" w:rsidP="00000000" w:rsidRDefault="00000000" w:rsidRPr="00000000" w14:paraId="0000003D">
      <w:pPr>
        <w:pStyle w:val="Heading1"/>
        <w:spacing w:after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ARTICLE 2 – OBJET, AFFILIATION ET MOYENS D’ACTION</w:t>
        <w:tab/>
        <w:t xml:space="preserve"> </w:t>
      </w:r>
    </w:p>
    <w:p w:rsidR="00000000" w:rsidDel="00000000" w:rsidP="00000000" w:rsidRDefault="00000000" w:rsidRPr="00000000" w14:paraId="0000003E">
      <w:pPr>
        <w:jc w:val="both"/>
        <w:rPr/>
      </w:pPr>
      <w:bookmarkStart w:colFirst="0" w:colLast="0" w:name="_heading=h.1ksv4uv" w:id="3"/>
      <w:bookmarkEnd w:id="3"/>
      <w:r w:rsidDel="00000000" w:rsidR="00000000" w:rsidRPr="00000000">
        <w:rPr>
          <w:rtl w:val="0"/>
        </w:rPr>
        <w:t xml:space="preserve">L’association est affiliée à la Fédération des Associations pour la promotion du Numérique en Afrique (APNA).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L’APNA-France a pour but de 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Créer des conditions de partenariat et collaborations entre les acteurs du numérique en France et des acteurs du Numérique en Afrique.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Encourager l’adoption des technologies numériques en Afrique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 la jeunesse africaine aux compétences numériques clés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Stimuler l’innovation et l’entrepreneuriat dans le domaine du numérique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Créer des opportunités d’emploi et de collaboration à travers les pays d’Afrique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Promouvoir les actions des organisations œuvrant dans notre but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Permettre les rencontres des acteurs du numérique et coordonner leurs actions dans le pays.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Être garant de la continuité et de l’esprit du réseau APNA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Créer des programmes de mentorat : Mettre en place des programmes de mentorat pour connecter des professionnels du numérique en France avec des jeunes talentueux issus de la diaspora africaine, afin de les aider à développer leurs compétences et à réussir dans le secteur.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Les moyens d'action de l’APNA-France sont :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L’organisation de toute conférence,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Conduite de projets,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Exposition et manifestation,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formation de ses </w:t>
      </w:r>
      <w:r w:rsidDel="00000000" w:rsidR="00000000" w:rsidRPr="00000000">
        <w:rPr>
          <w:rtl w:val="0"/>
        </w:rPr>
        <w:t xml:space="preserve">bénéficiaires</w:t>
      </w:r>
      <w:r w:rsidDel="00000000" w:rsidR="00000000" w:rsidRPr="00000000">
        <w:rPr>
          <w:color w:val="000000"/>
          <w:rtl w:val="0"/>
        </w:rPr>
        <w:t xml:space="preserve"> et adhérents,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publication de bulletins et périodiques,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délivrance de prix et récompenses,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activité économique autorisée par la loi. </w:t>
      </w:r>
    </w:p>
    <w:p w:rsidR="00000000" w:rsidDel="00000000" w:rsidP="00000000" w:rsidRDefault="00000000" w:rsidRPr="00000000" w14:paraId="00000051">
      <w:pPr>
        <w:pStyle w:val="Heading1"/>
        <w:spacing w:after="240" w:lineRule="auto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ARTICLE 3 - DUREE ET SIEGE SOCIAL</w:t>
        <w:tab/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La durée de l’Association est illimitée.</w:t>
      </w:r>
    </w:p>
    <w:p w:rsidR="00000000" w:rsidDel="00000000" w:rsidP="00000000" w:rsidRDefault="00000000" w:rsidRPr="00000000" w14:paraId="00000053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Elle a son siège chez Youssouf MAIGA, au 69 Avenue Aristide Briand - Appart 503 - 35000 Rennes.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Ce dernier pourra être transféré en tout autre lieu par décision prise en Assemblée Générale.</w:t>
      </w:r>
    </w:p>
    <w:p w:rsidR="00000000" w:rsidDel="00000000" w:rsidP="00000000" w:rsidRDefault="00000000" w:rsidRPr="00000000" w14:paraId="00000055">
      <w:pPr>
        <w:pStyle w:val="Heading1"/>
        <w:spacing w:after="240" w:lineRule="auto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ARTICLE 4 - ADMISSION </w:t>
      </w:r>
    </w:p>
    <w:p w:rsidR="00000000" w:rsidDel="00000000" w:rsidP="00000000" w:rsidRDefault="00000000" w:rsidRPr="00000000" w14:paraId="00000056">
      <w:pPr>
        <w:tabs>
          <w:tab w:val="left" w:leader="none" w:pos="708"/>
          <w:tab w:val="left" w:leader="none" w:pos="1416"/>
          <w:tab w:val="left" w:leader="none" w:pos="2124"/>
          <w:tab w:val="left" w:leader="none" w:pos="2730"/>
        </w:tabs>
        <w:rPr/>
      </w:pPr>
      <w:r w:rsidDel="00000000" w:rsidR="00000000" w:rsidRPr="00000000">
        <w:rPr>
          <w:rtl w:val="0"/>
        </w:rPr>
        <w:t xml:space="preserve">L’association est ouverte à tous, sans condition ni distinction.</w:t>
      </w:r>
    </w:p>
    <w:p w:rsidR="00000000" w:rsidDel="00000000" w:rsidP="00000000" w:rsidRDefault="00000000" w:rsidRPr="00000000" w14:paraId="00000057">
      <w:pPr>
        <w:tabs>
          <w:tab w:val="left" w:leader="none" w:pos="708"/>
          <w:tab w:val="left" w:leader="none" w:pos="1416"/>
          <w:tab w:val="left" w:leader="none" w:pos="2124"/>
          <w:tab w:val="left" w:leader="none" w:pos="2730"/>
        </w:tabs>
        <w:rPr/>
      </w:pPr>
      <w:r w:rsidDel="00000000" w:rsidR="00000000" w:rsidRPr="00000000">
        <w:rPr>
          <w:rtl w:val="0"/>
        </w:rPr>
        <w:t xml:space="preserve">Pour faire partie de l’APNA-France, il faut être agréé par le conseil d’administration, qui statue, lors de chacune de ses réunions, sur les demandes d'admission présentées.</w:t>
      </w:r>
    </w:p>
    <w:p w:rsidR="00000000" w:rsidDel="00000000" w:rsidP="00000000" w:rsidRDefault="00000000" w:rsidRPr="00000000" w14:paraId="00000058">
      <w:pPr>
        <w:pStyle w:val="Heading1"/>
        <w:spacing w:after="240" w:lineRule="auto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ARTICLE 5 - MEMBRE</w:t>
        <w:tab/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Un membre se qualifie par le fait de :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Régler sa cotisation dans les trois premiers mois de l’exercice en cours 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Participer à la vie de l’association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Respecter les statuts et RI de l’association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une activité notoire 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Sont membres d'honneur ceux qui ont rendu des services signalés à l'association. Ils sont dispensés de cotisations.</w:t>
        <w:br w:type="textWrapping"/>
        <w:t xml:space="preserve">Sont membres bienfaiteurs, les personnes ou organisations qui versent une cotisation annuelle fixée par le Conseil d’Administration et validée en assemblée générale. </w:t>
      </w:r>
    </w:p>
    <w:p w:rsidR="00000000" w:rsidDel="00000000" w:rsidP="00000000" w:rsidRDefault="00000000" w:rsidRPr="00000000" w14:paraId="0000005F">
      <w:pPr>
        <w:pStyle w:val="Heading1"/>
        <w:spacing w:after="240" w:lineRule="auto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ARTICLE 6 - RADIATION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 qualité de membre se perd par :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 démission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Le décès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 radiation prononcée par le conseil d'administration pour non-paiement de la cotisation ou pour motif grave, l'intéressé ayant été invité à fournir des explications devant le bureau et/ou par écrit.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40" w:lineRule="auto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ARTICLE 7 – ADMINISTRATION – FONCTIONNEMENT</w:t>
        <w:tab/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L’Association est administrée par un bureau composé 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420" w:hanging="360"/>
        <w:jc w:val="both"/>
        <w:rPr/>
      </w:pPr>
      <w:r w:rsidDel="00000000" w:rsidR="00000000" w:rsidRPr="00000000">
        <w:rPr>
          <w:rtl w:val="0"/>
        </w:rPr>
        <w:t xml:space="preserve">Du Président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420" w:hanging="360"/>
        <w:jc w:val="both"/>
        <w:rPr/>
      </w:pPr>
      <w:r w:rsidDel="00000000" w:rsidR="00000000" w:rsidRPr="00000000">
        <w:rPr>
          <w:rtl w:val="0"/>
        </w:rPr>
        <w:t xml:space="preserve">Du Trésorier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40" w:lineRule="auto"/>
        <w:ind w:left="420" w:hanging="360"/>
        <w:jc w:val="both"/>
        <w:rPr/>
      </w:pPr>
      <w:r w:rsidDel="00000000" w:rsidR="00000000" w:rsidRPr="00000000">
        <w:rPr>
          <w:rtl w:val="0"/>
        </w:rPr>
        <w:t xml:space="preserve">Du Secrétaire Général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420" w:hanging="360"/>
        <w:jc w:val="both"/>
        <w:rPr/>
      </w:pPr>
      <w:r w:rsidDel="00000000" w:rsidR="00000000" w:rsidRPr="00000000">
        <w:rPr>
          <w:rtl w:val="0"/>
        </w:rPr>
        <w:t xml:space="preserve">Des éventuels Vice-Présidents</w:t>
      </w:r>
    </w:p>
    <w:p w:rsidR="00000000" w:rsidDel="00000000" w:rsidP="00000000" w:rsidRDefault="00000000" w:rsidRPr="00000000" w14:paraId="0000006A">
      <w:pPr>
        <w:spacing w:after="0" w:line="240" w:lineRule="auto"/>
        <w:ind w:left="4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60" w:firstLine="0"/>
        <w:jc w:val="both"/>
        <w:rPr/>
      </w:pPr>
      <w:r w:rsidDel="00000000" w:rsidR="00000000" w:rsidRPr="00000000">
        <w:rPr>
          <w:rtl w:val="0"/>
        </w:rPr>
        <w:t xml:space="preserve">Les postes de Secrétaire et de Trésorier peuvent être, sur décision du bureau, et pour la durée d'un exercice, confiés à une seule personne. </w:t>
      </w:r>
    </w:p>
    <w:p w:rsidR="00000000" w:rsidDel="00000000" w:rsidP="00000000" w:rsidRDefault="00000000" w:rsidRPr="00000000" w14:paraId="0000006C">
      <w:pPr>
        <w:ind w:left="60" w:firstLine="0"/>
        <w:jc w:val="both"/>
        <w:rPr/>
      </w:pPr>
      <w:r w:rsidDel="00000000" w:rsidR="00000000" w:rsidRPr="00000000">
        <w:rPr>
          <w:rtl w:val="0"/>
        </w:rPr>
        <w:t xml:space="preserve">La fonction élective de chacun des membres du bureau est de deux ans, renouvelable une seule fois. </w:t>
      </w:r>
    </w:p>
    <w:p w:rsidR="00000000" w:rsidDel="00000000" w:rsidP="00000000" w:rsidRDefault="00000000" w:rsidRPr="00000000" w14:paraId="0000006D">
      <w:pPr>
        <w:ind w:left="60" w:firstLine="0"/>
        <w:jc w:val="both"/>
        <w:rPr/>
      </w:pPr>
      <w:r w:rsidDel="00000000" w:rsidR="00000000" w:rsidRPr="00000000">
        <w:rPr>
          <w:rtl w:val="0"/>
        </w:rPr>
        <w:t xml:space="preserve">Les modalités de réunion du bureau sont décrites dans le règlement intérieur.</w:t>
      </w:r>
    </w:p>
    <w:p w:rsidR="00000000" w:rsidDel="00000000" w:rsidP="00000000" w:rsidRDefault="00000000" w:rsidRPr="00000000" w14:paraId="0000006E">
      <w:pPr>
        <w:pStyle w:val="Heading1"/>
        <w:spacing w:after="240" w:lineRule="auto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ARTICLE 8 - ELECTIONS</w:t>
        <w:tab/>
      </w:r>
    </w:p>
    <w:p w:rsidR="00000000" w:rsidDel="00000000" w:rsidP="00000000" w:rsidRDefault="00000000" w:rsidRPr="00000000" w14:paraId="0000006F">
      <w:pPr>
        <w:ind w:left="60" w:firstLine="0"/>
        <w:jc w:val="both"/>
        <w:rPr/>
      </w:pPr>
      <w:r w:rsidDel="00000000" w:rsidR="00000000" w:rsidRPr="00000000">
        <w:rPr>
          <w:rtl w:val="0"/>
        </w:rPr>
        <w:t xml:space="preserve">Les candidatures sont individuelles ou de liste. </w:t>
      </w:r>
    </w:p>
    <w:p w:rsidR="00000000" w:rsidDel="00000000" w:rsidP="00000000" w:rsidRDefault="00000000" w:rsidRPr="00000000" w14:paraId="00000070">
      <w:pPr>
        <w:ind w:left="60" w:firstLine="0"/>
        <w:jc w:val="both"/>
        <w:rPr/>
      </w:pPr>
      <w:r w:rsidDel="00000000" w:rsidR="00000000" w:rsidRPr="00000000">
        <w:rPr>
          <w:rtl w:val="0"/>
        </w:rPr>
        <w:t xml:space="preserve">Toutefois, les candidats Vice-Présidents se présentent comme colistiers du candidat au poste de Président. </w:t>
      </w:r>
    </w:p>
    <w:p w:rsidR="00000000" w:rsidDel="00000000" w:rsidP="00000000" w:rsidRDefault="00000000" w:rsidRPr="00000000" w14:paraId="00000071">
      <w:pPr>
        <w:ind w:left="60" w:firstLine="0"/>
        <w:jc w:val="both"/>
        <w:rPr/>
      </w:pPr>
      <w:r w:rsidDel="00000000" w:rsidR="00000000" w:rsidRPr="00000000">
        <w:rPr>
          <w:rtl w:val="0"/>
        </w:rPr>
        <w:t xml:space="preserve">Le règlement intérieur définit les modalités pratiques de l'élection du bureau.</w:t>
      </w:r>
    </w:p>
    <w:p w:rsidR="00000000" w:rsidDel="00000000" w:rsidP="00000000" w:rsidRDefault="00000000" w:rsidRPr="00000000" w14:paraId="00000072">
      <w:pPr>
        <w:pStyle w:val="Heading1"/>
        <w:spacing w:after="240" w:lineRule="auto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ARTICLE 9 - ROLE DU PRESIDENT</w:t>
        <w:tab/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Le Président représente l’association dans tous les actes de la vie civile.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Il ordonne les dépenses et peut donner délégation dans les conditions qui sont données dans le règlement intérieur.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En cas de représentation en justice, il peut être remplacé par un mandataire agissant en vertu d'une procuration. 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En cas de vacance ou d’empêchement du Président, le bureau nomme un représentant qui le remplacera.</w:t>
      </w:r>
    </w:p>
    <w:p w:rsidR="00000000" w:rsidDel="00000000" w:rsidP="00000000" w:rsidRDefault="00000000" w:rsidRPr="00000000" w14:paraId="00000077">
      <w:pPr>
        <w:pStyle w:val="Heading1"/>
        <w:spacing w:after="240" w:lineRule="auto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ARTICLE 10 - RESSOURCES ET COMPTABILITE</w:t>
        <w:tab/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Les ressources annuelles de l’APNA-France se composent :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Du revenu de ses biens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Des cotisations et souscriptions de ses membres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Des subventions de l'Etat, des régions, des départements, des communes et des établissements publics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Des subventions privées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Des dons, donations et legs dont l’emploi est décidé au cours de l’exercice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Du produit de ventes ou des rétributions pour services rendus.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La cotisation est fixée par l’Assemblée Générale sur proposition du bureau.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Il est tenu une comptabilité faisant apparaître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annuellement le résultat de l’exercice ainsi qu’un bilan.</w:t>
      </w:r>
    </w:p>
    <w:p w:rsidR="00000000" w:rsidDel="00000000" w:rsidP="00000000" w:rsidRDefault="00000000" w:rsidRPr="00000000" w14:paraId="00000082">
      <w:pPr>
        <w:pStyle w:val="Heading1"/>
        <w:spacing w:after="240" w:lineRule="auto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ARTICLE 11 – ASSEMBLEES GENERALES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Les membres se réunissent en Assemblées Générales, lesquelles sont qualifiées d'extraordinaires lorsque leurs décisions se rapportent à une modification des statuts et d'ordinaires dans les autres cas. 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En outre, l'Assemblée Générale ordinaire est convoquée extraordinairement par le Bureau lorsqu'il le juge utile, ou à la demande du quart au moins des membres de l'Association.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Les pouvoirs et les modalités de convocation et d’organisation des Assemblées Générales sont définis par le règlement intérieur.</w:t>
      </w:r>
    </w:p>
    <w:p w:rsidR="00000000" w:rsidDel="00000000" w:rsidP="00000000" w:rsidRDefault="00000000" w:rsidRPr="00000000" w14:paraId="00000086">
      <w:pPr>
        <w:pStyle w:val="Heading1"/>
        <w:spacing w:after="240" w:lineRule="auto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ARTICLE 12 – DISSOLUTION</w:t>
        <w:tab/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L'Assemblée Générale qui est appelée à se prononcer sur la dissolution de l'Association, est spécialement convoquée à cet effet et doit comprendre au moins la moitié plus un des membres en exercice.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Si cette proportion n'est pas remplie, elle est convoquée de nouveau mais à un mois d'intervalle et cette fois, elle peut valablement délibérer quel que soit le nombre des membres présents.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Dans tous les cas, la dissolution ne peut être votée qu'à la majorité des deux tiers des présents.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En cas de dissolution, l'Assemblée Générale désigne plusieurs commissaires chargés de la liquidation des biens de l'Association. Elle attribue l'actif net à un ou plusieurs établissements analogues, publics ou reconnus d'utilité publique.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Le Président de la Fédération, ou le Conseiller Juridique de la fédération pourront vérifier :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Que la dissolution est effective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Que la publicité de cette dissolution a été effectuée auprès de l’autorité 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240" w:lineRule="auto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ARTICLE 13 – REGLEMENT INTERIEUR</w:t>
        <w:tab/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La création du règlement intérieur préparé par le bureau est soumise à l'approbation de l’Assemblée Générale des membres qui l’adoptent à la majorité des voix exprimées.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Les modifications du règlement intérieur sont proposées par le bureau ou le quart des membres de l’association, régulièrement inscrits et à jour de leur cotisation et sont soumises à l'approbation de l’Assemblée Générale des membres qui l’adoptent à la majorité des voix exprimées.</w:t>
      </w:r>
    </w:p>
    <w:p w:rsidR="00000000" w:rsidDel="00000000" w:rsidP="00000000" w:rsidRDefault="00000000" w:rsidRPr="00000000" w14:paraId="00000091">
      <w:pPr>
        <w:pStyle w:val="Heading1"/>
        <w:spacing w:after="240" w:lineRule="auto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ARTICLE 14 – DECLARATIONS ET PUBLICATION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Le Bureau remplira les formalités de déclaration et de publication prescrites par la loi.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Tous pouvoirs sont conférés à cet effet au porteur d'un original des présentes.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Les présents statuts seront appliqués provisoirement dans l’attente de leur validation par les autorités administratives.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Fait à Bamako le 26 août 2023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 autant d’exemplaires que de droit.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 Président</w:t>
        <w:tab/>
        <w:tab/>
        <w:tab/>
        <w:tab/>
        <w:tab/>
        <w:tab/>
        <w:tab/>
        <w:t xml:space="preserve">                          Le Secrétaire Général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Youssouf Daouda MAIGA                                                                                                 Ibrahima THIERO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STATUS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 Associations pour la Promotion du Numérique en Afrique établie en France - APNA-FRANCE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STATUS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 Associations pour la Promotion du Numérique en Afrique établie en France - APNA-FRANCE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bullet"/>
      <w:lvlText w:val="-"/>
      <w:lvlJc w:val="left"/>
      <w:pPr>
        <w:ind w:left="4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2B0"/>
  </w:style>
  <w:style w:type="paragraph" w:styleId="Titre1">
    <w:name w:val="heading 1"/>
    <w:basedOn w:val="Normal"/>
    <w:next w:val="Normal"/>
    <w:link w:val="Titre1Car"/>
    <w:uiPriority w:val="9"/>
    <w:qFormat w:val="1"/>
    <w:rsid w:val="001A32B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re1Car" w:customStyle="1">
    <w:name w:val="Titre 1 Car"/>
    <w:basedOn w:val="Policepardfaut"/>
    <w:link w:val="Titre1"/>
    <w:uiPriority w:val="9"/>
    <w:rsid w:val="001A32B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agraphedeliste">
    <w:name w:val="List Paragraph"/>
    <w:basedOn w:val="Normal"/>
    <w:uiPriority w:val="34"/>
    <w:qFormat w:val="1"/>
    <w:rsid w:val="001A32B0"/>
    <w:pPr>
      <w:ind w:left="720"/>
      <w:contextualSpacing w:val="1"/>
    </w:p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8E220F"/>
    <w:pPr>
      <w:outlineLvl w:val="9"/>
    </w:pPr>
  </w:style>
  <w:style w:type="paragraph" w:styleId="TM1">
    <w:name w:val="toc 1"/>
    <w:basedOn w:val="Normal"/>
    <w:next w:val="Normal"/>
    <w:autoRedefine w:val="1"/>
    <w:uiPriority w:val="39"/>
    <w:unhideWhenUsed w:val="1"/>
    <w:rsid w:val="008E220F"/>
    <w:pPr>
      <w:spacing w:after="100"/>
    </w:pPr>
  </w:style>
  <w:style w:type="character" w:styleId="Lienhypertexte">
    <w:name w:val="Hyperlink"/>
    <w:basedOn w:val="Policepardfaut"/>
    <w:uiPriority w:val="99"/>
    <w:unhideWhenUsed w:val="1"/>
    <w:rsid w:val="008E220F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F145F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F145FA"/>
    <w:rPr>
      <w:rFonts w:ascii="Segoe UI" w:cs="Segoe UI" w:hAnsi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 w:val="1"/>
    <w:rsid w:val="00F145F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F145FA"/>
  </w:style>
  <w:style w:type="paragraph" w:styleId="Pieddepage">
    <w:name w:val="footer"/>
    <w:basedOn w:val="Normal"/>
    <w:link w:val="PieddepageCar"/>
    <w:uiPriority w:val="99"/>
    <w:unhideWhenUsed w:val="1"/>
    <w:rsid w:val="00F145F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F145F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in69YLbrXGg+c/zEAeKDVnR/6g==">CgMxLjAyCGguZ2pkZ3hzMgloLjMwajB6bGwyCWguMWZvYjl0ZTIJaC4xa3N2NHV2MgloLjN6bnlzaDcyCWguMmV0OTJwMDIIaC50eWpjd3QyCWguM2R5NnZrbTIJaC4xdDNoNXNmMgloLjRkMzRvZzgyCWguMnM4ZXlvMTIJaC4xN2RwOHZ1MgloLjNyZGNyam4yCWguMjZpbjFyZzIIaC5sbnhiejkyCWguMzVua3VuMjgAciExMjQxSjN2WEZrWUtuQzl0RUdPUjAxaE45ZFp0dExPM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2023-08-11T09:22:00Z</dcterms:created>
  <dc:creator>Ibrahima THIERO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0x0101000D8B9A66363BB244979807CAC1130750</vt:lpwstr>
  </property>
</Properties>
</file>