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Design System</w:t>
      </w:r>
    </w:p>
    <w:p>
      <w:pPr>
        <w:jc w:val="center"/>
      </w:pPr>
      <w:r>
        <w:t>Système visuel, tokens, composants, états et règles d’interface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Principes</w:t>
      </w:r>
    </w:p>
    <w:p>
      <w:pPr>
        <w:pStyle w:val="ListBullet"/>
      </w:pPr>
      <w:r>
        <w:t>Chaleur maîtrisée : tons terreux et organiques sur une base Deep structurante.</w:t>
      </w:r>
    </w:p>
    <w:p>
      <w:pPr>
        <w:pStyle w:val="ListBullet"/>
      </w:pPr>
      <w:r>
        <w:t>Clarté fonctionnelle : la couleur soutient l’information sans la remplacer.</w:t>
      </w:r>
    </w:p>
    <w:p>
      <w:pPr>
        <w:pStyle w:val="ListBullet"/>
      </w:pPr>
      <w:r>
        <w:t>Sobriété contemporaine : accents contrôlés, surfaces respirantes, ombres discrètes.</w:t>
      </w:r>
    </w:p>
    <w:p>
      <w:pPr>
        <w:pStyle w:val="ListBullet"/>
      </w:pPr>
      <w:r>
        <w:t>Cohérence multi-supports : mêmes tokens dans l’UI, les documents et présentations.</w:t>
      </w:r>
    </w:p>
    <w:p>
      <w:pPr>
        <w:pStyle w:val="Heading1"/>
      </w:pPr>
      <w:r>
        <w:t>2. Typographie</w:t>
      </w:r>
    </w:p>
    <w:p>
      <w:pPr>
        <w:pStyle w:val="ListBullet"/>
      </w:pPr>
      <w:r>
        <w:t>Black Ops One : exclusivement pour le nom de marque TAKT dans les mockups, couvertures et signatures de marque. Elle ne sert pas à l’interface.</w:t>
      </w:r>
    </w:p>
    <w:p>
      <w:pPr>
        <w:pStyle w:val="ListBullet"/>
      </w:pPr>
      <w:r>
        <w:t>Sora : titres, H1/H2/H3, display et grands indicateurs éditoriaux.</w:t>
      </w:r>
    </w:p>
    <w:p>
      <w:pPr>
        <w:pStyle w:val="ListBullet"/>
      </w:pPr>
      <w:r>
        <w:t>Inter : interface, corps, navigation, formulaires, tableaux, légendes et données.</w:t>
      </w:r>
    </w:p>
    <w:p>
      <w:pPr>
        <w:pStyle w:val="ListBullet"/>
      </w:pPr>
      <w:r>
        <w:t>Inter tabular-nums : horaires, métriques et colonnes numériques.</w:t>
      </w:r>
    </w:p>
    <w:p>
      <w:pPr>
        <w:pStyle w:val="Heading1"/>
      </w:pPr>
      <w:r>
        <w:t>3. Couleurs</w:t>
      </w:r>
    </w:p>
    <w:p>
      <w:pPr>
        <w:pStyle w:val="ListBullet"/>
      </w:pPr>
      <w:r>
        <w:t>Deep #29363C — structure, navigation, texte principal.</w:t>
      </w:r>
    </w:p>
    <w:p>
      <w:pPr>
        <w:pStyle w:val="ListBullet"/>
      </w:pPr>
      <w:r>
        <w:t>Clay #B98268 — signature, CTA, sélection et accent.</w:t>
      </w:r>
    </w:p>
    <w:p>
      <w:pPr>
        <w:pStyle w:val="ListBullet"/>
      </w:pPr>
      <w:r>
        <w:t>Sage #7D938A — secondaire, catégories, données et surfaces.</w:t>
      </w:r>
    </w:p>
    <w:p>
      <w:pPr>
        <w:pStyle w:val="ListBullet"/>
      </w:pPr>
      <w:r>
        <w:t>Sand #E9D8BF — surfaces éditoriales et chaleur.</w:t>
      </w:r>
    </w:p>
    <w:p>
      <w:pPr>
        <w:pStyle w:val="ListBullet"/>
      </w:pPr>
      <w:r>
        <w:t>Ivory #FBFCFF — fond principal.</w:t>
      </w:r>
    </w:p>
    <w:p>
      <w:pPr>
        <w:pStyle w:val="ListBullet"/>
      </w:pPr>
      <w:r>
        <w:t>Sun #F5F3BB — highlight rare.</w:t>
      </w:r>
    </w:p>
    <w:p>
      <w:pPr>
        <w:pStyle w:val="ListBullet"/>
      </w:pPr>
      <w:r>
        <w:t>Success #3F765E · Warning #B47732 · Error #B6534B · Info #526D78.</w:t>
      </w:r>
    </w:p>
    <w:p>
      <w:pPr>
        <w:pStyle w:val="Heading1"/>
      </w:pPr>
      <w:r>
        <w:t>4. Géométrie et tokens</w:t>
      </w:r>
    </w:p>
    <w:p>
      <w:pPr>
        <w:pStyle w:val="ListBullet"/>
      </w:pPr>
      <w:r>
        <w:t>Base 4 px ; échelle courante 4/8/12/16/24/32/40/48/64 px.</w:t>
      </w:r>
    </w:p>
    <w:p>
      <w:pPr>
        <w:pStyle w:val="ListBullet"/>
      </w:pPr>
      <w:r>
        <w:t>Cartes 12 px ; contrôles 8 px ; pills 999 px ; contrôles tactiles 40–44 px.</w:t>
      </w:r>
    </w:p>
    <w:p>
      <w:pPr>
        <w:pStyle w:val="ListBullet"/>
      </w:pPr>
      <w:r>
        <w:t>Privilégier bordures, contraste et hiérarchie des surfaces plutôt que des ombres fortes.</w:t>
      </w:r>
    </w:p>
    <w:p>
      <w:pPr>
        <w:pStyle w:val="Heading1"/>
      </w:pPr>
      <w:r>
        <w:t>5. Motif TAKT</w:t>
      </w:r>
    </w:p>
    <w:p>
      <w:pPr>
        <w:pStyle w:val="ListBullet"/>
      </w:pPr>
      <w:r>
        <w:t>Ligne horizontale Clay + quatre points comme motif secondaire dérivé du logo.</w:t>
      </w:r>
    </w:p>
    <w:p>
      <w:pPr>
        <w:pStyle w:val="ListBullet"/>
      </w:pPr>
      <w:r>
        <w:t>Aucune signification métier obligatoire n’est attribuée aux quatre points.</w:t>
      </w:r>
    </w:p>
    <w:p>
      <w:pPr>
        <w:pStyle w:val="ListBullet"/>
      </w:pPr>
      <w:r>
        <w:t>Usage : séparateurs, couvertures, onboarding, historique, workflow et documents.</w:t>
      </w:r>
    </w:p>
    <w:p>
      <w:pPr>
        <w:pStyle w:val="Heading1"/>
      </w:pPr>
      <w:r>
        <w:t>6. Composants</w:t>
      </w:r>
    </w:p>
    <w:p>
      <w:pPr>
        <w:pStyle w:val="ListBullet"/>
      </w:pPr>
      <w:r>
        <w:t>Primaire : Deep ou Clay selon le contexte et le contraste.</w:t>
      </w:r>
    </w:p>
    <w:p>
      <w:pPr>
        <w:pStyle w:val="ListBullet"/>
      </w:pPr>
      <w:r>
        <w:t>Secondaire : surface claire + bordure.</w:t>
      </w:r>
    </w:p>
    <w:p>
      <w:pPr>
        <w:pStyle w:val="ListBullet"/>
      </w:pPr>
      <w:r>
        <w:t>Danger : Error ; ne pas détourner Clay.</w:t>
      </w:r>
    </w:p>
    <w:p>
      <w:pPr>
        <w:pStyle w:val="ListBullet"/>
      </w:pPr>
      <w:r>
        <w:t>Focus toujours visible ; états jamais fondés sur la couleur seule.</w:t>
      </w:r>
    </w:p>
    <w:p>
      <w:pPr/>
      <w:r>
        <w:t>V2.3.6.6 — Correctifs d’implémentation</w:t>
      </w:r>
    </w:p>
    <w:p>
      <w:pPr/>
      <w:r>
        <w:t>Focus navigation Deep : Ivory #FBFCFF, 2 px, offset 2 px. Le focus Deep est interdit sur fond Deep.</w:t>
      </w:r>
    </w:p>
    <w:p>
      <w:pPr/>
      <w:r>
        <w:t>États et contraste : les couleurs d’état destinées aux icônes/bordures ne sont pas automatiquement des couleurs de texte. Sur Ivory, Warning #B47732 et text.tertiary #718086 doivent utiliser leurs variantes texte ou Deep.</w:t>
      </w:r>
    </w:p>
    <w:p>
      <w:pPr/>
      <w:r>
        <w:t>Exports tokenisés : shadow.card, shadow.elevated, shadow.modal, export.print_monochrome et export.draft_watermark sont centralisés dans la source JSON.</w:t>
      </w:r>
    </w:p>
    <w:p>
      <w:r>
        <w:br w:type="page"/>
      </w:r>
    </w:p>
    <w:p>
      <w:pPr>
        <w:pStyle w:val="Heading1"/>
      </w:pPr>
      <w:r>
        <w:t>V2.3.6.6 — Correctifs</w:t>
      </w:r>
    </w:p>
    <w:p>
      <w:r>
        <w:t>V2.3.6.6 — Correctifs tokens</w:t>
      </w:r>
    </w:p>
    <w:p>
      <w:r>
        <w:t>1. Focus</w:t>
      </w:r>
    </w:p>
    <w:p>
      <w:r>
        <w:t xml:space="preserve">   - Suppression de focus.surfaces (ambigu).</w:t>
      </w:r>
    </w:p>
    <w:p>
      <w:r>
        <w:t xml:space="preserve">   - focus.on_light_surfaces = #29363C.</w:t>
      </w:r>
    </w:p>
    <w:p>
      <w:r>
        <w:t xml:space="preserve">   - focus.on_deep_surfaces = #FBFCFF.</w:t>
      </w:r>
    </w:p>
    <w:p>
      <w:r>
        <w:t xml:space="preserve">   - Le mode sombre reste explicitement exclu de la V1.0.</w:t>
      </w:r>
    </w:p>
    <w:p>
      <w:r>
        <w:t>2. Contraste multi-surfaces</w:t>
      </w:r>
    </w:p>
    <w:p>
      <w:r>
        <w:t xml:space="preserve">   - Les tokens brand.primary.text, brand.secondary.text, status.warning.text et text.tertiary ont été assombris pour atteindre AA sur Ivory, Warm, Inset, Card et Elevated.</w:t>
      </w:r>
    </w:p>
    <w:p>
      <w:r>
        <w:t xml:space="preserve">   - Le test automatique ne se limite plus à Ivory.</w:t>
      </w:r>
    </w:p>
    <w:p>
      <w:r>
        <w:t>3. État A_PLACER</w:t>
      </w:r>
    </w:p>
    <w:p>
      <w:r>
        <w:t xml:space="preserve">   - Sand sur Ivory = 1.361:1: insuffisant pour distinguer l’état par la surface seule.</w:t>
      </w:r>
    </w:p>
    <w:p>
      <w:r>
        <w:t xml:space="preserve">   - Bordure #8A9396 (&gt;=3:1) + icône obligatoires; texte Deep.</w:t>
      </w:r>
    </w:p>
    <w:p>
      <w:r>
        <w:t>4. Impression</w:t>
      </w:r>
    </w:p>
    <w:p>
      <w:r>
        <w:t xml:space="preserve">   - Bordure #808080 (3.949:1 sur blanc) lorsque la bordure porte une information.</w:t>
      </w:r>
    </w:p>
    <w:p>
      <w:r>
        <w:t>5. Sévérités</w:t>
      </w:r>
    </w:p>
    <w:p>
      <w:r>
        <w:t xml:space="preserve">   - Clés canoniques: BLOQUANT / AVERTISSEMENT / INFORMATION, conformément au vocabulaire opérationnel de la spécification fonctionnelle.</w:t>
      </w:r>
    </w:p>
    <w:p>
      <w:pPr>
        <w:pStyle w:val="Heading2"/>
      </w:pPr>
      <w:r>
        <w:t>V2.3.6 — synchronisation des tokens et états API</w:t>
      </w:r>
    </w:p>
    <w:p>
      <w:pPr>
        <w:pStyle w:val="ListBullet"/>
      </w:pPr>
      <w:r>
        <w:t>Les clés d’états sont alignées sur les codes API de la spécification fonctionnelle ; aucune table de correspondance frontend n’est requise.</w:t>
      </w:r>
    </w:p>
    <w:p>
      <w:pPr>
        <w:pStyle w:val="ListBullet"/>
      </w:pPr>
      <w:r>
        <w:t>La sévérité canonique est restaurée : BLOQUANT, AVERTISSEMENT, INFORMATION.</w:t>
      </w:r>
    </w:p>
    <w:p>
      <w:pPr>
        <w:pStyle w:val="ListBullet"/>
      </w:pPr>
      <w:r>
        <w:t>Les couleurs de texte des états utilisent les variantes AA déclarées dans semantic et contrast ; les tokens color d’état restent réservés aux icônes, bordures et repères.</w:t>
      </w:r>
    </w:p>
    <w:p>
      <w:pPr>
        <w:pStyle w:val="ListBullet"/>
      </w:pPr>
      <w:r>
        <w:t>Les icônes métier non couvertes par Lucide sont livrées dans 02_Design_System/icons : lock-calendar, lock-room, lock-teacher, lock-activity, triangle-alert-check, triangle-alert-clock.</w:t>
      </w:r>
    </w:p>
    <w:p>
      <w:pPr>
        <w:pStyle w:val="ListBullet"/>
      </w:pPr>
      <w:r>
        <w:t>À placer : sur Ivory, utiliser la bordure dédiée déclarée par le token. Sur Warm et Inset, ne jamais poser la pastille avec la bordure Ivory-only ; utiliser le pattern alternatif à fond local avec bordure dédiée et icône.</w:t>
      </w:r>
    </w:p>
    <w:p>
      <w:pPr>
        <w:pStyle w:val="ListBullet"/>
      </w:pPr>
      <w:r>
        <w:t>REGLE_DURE, REGLE_SOUPLE et VOEU sont des dérivés UI de catégorie/nature et ne sont pas des codes API.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