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lack Ops One" w:hAnsi="Black Ops One"/>
          <w:color w:val="29363C"/>
          <w:sz w:val="56"/>
        </w:rPr>
        <w:t>TAKT</w:t>
      </w:r>
    </w:p>
    <w:p>
      <w:pPr>
        <w:pStyle w:val="Title"/>
        <w:jc w:val="center"/>
      </w:pPr>
      <w:r>
        <w:t>TAKT — UX/UI Patterns</w:t>
      </w:r>
    </w:p>
    <w:p>
      <w:pPr>
        <w:jc w:val="center"/>
      </w:pPr>
      <w:r>
        <w:t>Patterns génériques de référence — non contractuels pour les écrans métier finaux</w:t>
      </w:r>
    </w:p>
    <w:p>
      <w:pPr>
        <w:jc w:val="center"/>
      </w:pPr>
      <w:r>
        <w:t>V2.3.6 · Octobre 2026</w:t>
      </w:r>
    </w:p>
    <w:p>
      <w:r>
        <w:br w:type="page"/>
      </w:r>
    </w:p>
    <w:p>
      <w:pPr>
        <w:pStyle w:val="Heading1"/>
      </w:pPr>
      <w:r>
        <w:t>1. Principe d’usage</w:t>
      </w:r>
    </w:p>
    <w:p>
      <w:pPr>
        <w:pStyle w:val="ListBullet"/>
      </w:pPr>
      <w:r>
        <w:t>Les écrans sont génériques et servent à démontrer comment l’identité TAKT s’applique à une interface.</w:t>
      </w:r>
    </w:p>
    <w:p>
      <w:pPr>
        <w:pStyle w:val="ListBullet"/>
      </w:pPr>
      <w:r>
        <w:t>Ils ne constituent pas une spécification exhaustive des workflows métier.</w:t>
      </w:r>
    </w:p>
    <w:p>
      <w:pPr>
        <w:pStyle w:val="ListBullet"/>
      </w:pPr>
      <w:r>
        <w:t>Les données d’exemple sont fictives et réutilisables.</w:t>
      </w:r>
    </w:p>
    <w:p>
      <w:pPr>
        <w:pStyle w:val="Heading1"/>
      </w:pPr>
      <w:r>
        <w:t>2. Navigation</w:t>
      </w:r>
    </w:p>
    <w:p>
      <w:pPr>
        <w:pStyle w:val="ListBullet"/>
      </w:pPr>
      <w:r>
        <w:t>Structure courte, hiérarchie claire, Deep pour la structure et Clay pour les actions identitaires.</w:t>
      </w:r>
    </w:p>
    <w:p>
      <w:pPr>
        <w:pStyle w:val="ListBullet"/>
      </w:pPr>
      <w:r>
        <w:t>Le nom TAKT affiché comme marque utilise toujours Black Ops One.</w:t>
      </w:r>
    </w:p>
    <w:p>
      <w:pPr>
        <w:pStyle w:val="Heading1"/>
      </w:pPr>
      <w:r>
        <w:t>3. Dashboard</w:t>
      </w:r>
    </w:p>
    <w:p>
      <w:pPr>
        <w:pStyle w:val="ListBullet"/>
      </w:pPr>
      <w:r>
        <w:t>Résumé des indicateurs, activité récente, alertes et accès aux espaces principaux.</w:t>
      </w:r>
    </w:p>
    <w:p>
      <w:pPr>
        <w:pStyle w:val="ListBullet"/>
      </w:pPr>
      <w:r>
        <w:t>Les KPI privilégient la lisibilité ; Sun est réservé aux highlights.</w:t>
      </w:r>
    </w:p>
    <w:p>
      <w:pPr>
        <w:pStyle w:val="Heading1"/>
      </w:pPr>
      <w:r>
        <w:t>4. Liste / Data</w:t>
      </w:r>
    </w:p>
    <w:p>
      <w:pPr>
        <w:pStyle w:val="ListBullet"/>
      </w:pPr>
      <w:r>
        <w:t>Tableaux respirants, filtres visibles, états explicites et chiffres tabulaires.</w:t>
      </w:r>
    </w:p>
    <w:p>
      <w:pPr>
        <w:pStyle w:val="ListBullet"/>
      </w:pPr>
      <w:r>
        <w:t>Ne jamais utiliser la couleur seule pour distinguer un état.</w:t>
      </w:r>
    </w:p>
    <w:p>
      <w:pPr>
        <w:pStyle w:val="Heading1"/>
      </w:pPr>
      <w:r>
        <w:t>5. Détail / Formulaire</w:t>
      </w:r>
    </w:p>
    <w:p>
      <w:pPr>
        <w:pStyle w:val="ListBullet"/>
      </w:pPr>
      <w:r>
        <w:t>Hiérarchie Sora pour les titres, Inter pour les champs et actions.</w:t>
      </w:r>
    </w:p>
    <w:p>
      <w:pPr>
        <w:pStyle w:val="ListBullet"/>
      </w:pPr>
      <w:r>
        <w:t>Validation locale et messages calmes, directs et non alarmistes.</w:t>
      </w:r>
    </w:p>
    <w:p>
      <w:pPr>
        <w:pStyle w:val="Heading1"/>
      </w:pPr>
      <w:r>
        <w:t>6. Planning</w:t>
      </w:r>
    </w:p>
    <w:p>
      <w:pPr>
        <w:pStyle w:val="ListBullet"/>
      </w:pPr>
      <w:r>
        <w:t>Grille lisible, axe temporel stable, blocs aérés et conflits explicitement signalés.</w:t>
      </w:r>
    </w:p>
    <w:p>
      <w:pPr>
        <w:pStyle w:val="ListBullet"/>
      </w:pPr>
      <w:r>
        <w:t>Deep pour les données principales, Clay pour le focus, Sage pour le secondaire.</w:t>
      </w:r>
    </w:p>
    <w:p>
      <w:pPr>
        <w:pStyle w:val="Heading1"/>
      </w:pPr>
      <w:r>
        <w:t>7. États</w:t>
      </w:r>
    </w:p>
    <w:p>
      <w:pPr>
        <w:pStyle w:val="ListBullet"/>
      </w:pPr>
      <w:r>
        <w:t>Loading : skeleton discret.</w:t>
      </w:r>
    </w:p>
    <w:p>
      <w:pPr>
        <w:pStyle w:val="ListBullet"/>
      </w:pPr>
      <w:r>
        <w:t>Empty : explication courte + action utile.</w:t>
      </w:r>
    </w:p>
    <w:p>
      <w:pPr>
        <w:pStyle w:val="ListBullet"/>
      </w:pPr>
      <w:r>
        <w:t>Feedback : message explicite + icône/label.</w:t>
      </w:r>
    </w:p>
    <w:p>
      <w:pPr>
        <w:pStyle w:val="ListBullet"/>
      </w:pPr>
      <w:r>
        <w:t>Erreur : Error réservé au blocage ou à l’action destructive.</w:t>
      </w:r>
    </w:p>
    <w:p>
      <w:pPr>
        <w:pStyle w:val="Heading1"/>
      </w:pPr>
      <w:r>
        <w:t>8. Responsive</w:t>
      </w:r>
    </w:p>
    <w:p>
      <w:pPr>
        <w:pStyle w:val="ListBullet"/>
      </w:pPr>
      <w:r>
        <w:t>Desktop : densité complète.</w:t>
      </w:r>
    </w:p>
    <w:p>
      <w:pPr>
        <w:pStyle w:val="ListBullet"/>
      </w:pPr>
      <w:r>
        <w:t>Tablet : réduction des panneaux secondaires.</w:t>
      </w:r>
    </w:p>
    <w:p>
      <w:pPr>
        <w:pStyle w:val="ListBullet"/>
      </w:pPr>
      <w:r>
        <w:t>Mobile : consultation et actions ciblées plutôt qu’édition complexe d’une grille.</w:t>
      </w:r>
    </w:p>
    <w:p>
      <w:pPr>
        <w:pStyle w:val="Heading2"/>
      </w:pPr>
      <w:r>
        <w:t>V2.3.6 — patterns complémentaires</w:t>
      </w:r>
    </w:p>
    <w:p>
      <w:pPr>
        <w:pStyle w:val="ListBullet"/>
      </w:pPr>
      <w:r>
        <w:t>Verrous : quatre repères distincts — lock-calendar (créneau), lock-room (salle), lock-teacher (enseignant), lock-activity (activité). Chaque repère porte son libellé accessible et son aria.</w:t>
      </w:r>
    </w:p>
    <w:p>
      <w:pPr>
        <w:pStyle w:val="ListBullet"/>
      </w:pPr>
      <w:r>
        <w:t>Nature d’une contrainte : REGLE_DURE et REGLE_SOUPLE expriment une règle ; VOEU exprime une préférence. Ces marqueurs sont dérivés de la catégorie/nature et ne sont pas des codes API.</w:t>
      </w:r>
    </w:p>
    <w:p>
      <w:pPr>
        <w:pStyle w:val="ListBullet"/>
      </w:pPr>
      <w:r>
        <w:t>Origine d’une séance : MOTEUR ou MANUEL, afin d’indiquer une modification manuelle.</w:t>
      </w:r>
    </w:p>
    <w:p>
      <w:pPr>
        <w:pStyle w:val="ListBullet"/>
      </w:pPr>
      <w:r>
        <w:t>Avertissement accepté : triangle-alert-check. Acceptation caduque : triangle-alert-clock. Ces repères restent visibles dans la publication et les exports officiels.</w:t>
      </w:r>
    </w:p>
    <w:p>
      <w:pPr>
        <w:pStyle w:val="ListBullet"/>
      </w:pPr>
      <w:r>
        <w:t>À placer sur Warm/Inset : utiliser une variante locale avec fond de la surface, bordure dédiée atteignant au moins 3:1 avec la surface environnante, icône et texte Deep ; ne jamais réutiliser la bordure Ivory-only comme bordure intérieure sur ces surfaces.</w:t>
      </w:r>
    </w:p>
    <w:p>
      <w:pPr>
        <w:pStyle w:val="ListBullet"/>
      </w:pPr>
      <w:r>
        <w:t>Les états ne sont jamais portés par la couleur seule.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0" w:right="1800" w:bottom="9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ra" w:hAnsi="Sora"/>
      <w:b/>
      <w:bCs/>
      <w:color w:val="29363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ra" w:hAnsi="Sora"/>
      <w:b/>
      <w:bCs/>
      <w:color w:val="B982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ra" w:hAnsi="Sora"/>
      <w:b/>
      <w:bCs/>
      <w:color w:val="7D93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ra" w:hAnsi="Sora"/>
      <w:color w:val="2936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