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TAKT  ·  Design System  ·  V2.3.6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205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T_logo_v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0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Mockup Book — UI/UX générique</w:t>
      </w:r>
    </w:p>
    <w:p>
      <w:pPr>
        <w:jc w:val="center"/>
      </w:pPr>
      <w:r>
        <w:rPr>
          <w:color w:val="56646A"/>
          <w:sz w:val="20"/>
        </w:rPr>
        <w:t>Direction : Argile &amp; Sable chaleureux  ·  Référence logo : TAKT_logo_master_color.svg</w:t>
      </w:r>
    </w:p>
    <w:p>
      <w:r>
        <w:br w:type="page"/>
      </w:r>
    </w:p>
    <w:p>
      <w:pPr>
        <w:pStyle w:val="Heading1"/>
      </w:pPr>
      <w:r>
        <w:t>Principe</w:t>
      </w:r>
    </w:p>
    <w:p>
      <w:pPr>
        <w:pStyle w:val="ListBullet"/>
      </w:pPr>
      <w:r>
        <w:t>Les écrans ci-dessous démontrent comment l’identité TAKT s’applique à une interface.</w:t>
      </w:r>
    </w:p>
    <w:p>
      <w:pPr>
        <w:pStyle w:val="ListBullet"/>
      </w:pPr>
      <w:r>
        <w:t>Ils sont génériques, réutilisables et volontairement indépendants des rôles et workflows finaux.</w:t>
      </w:r>
    </w:p>
    <w:p>
      <w:pPr>
        <w:pStyle w:val="ListBullet"/>
      </w:pPr>
      <w:r>
        <w:t>Les données sont fictives : elles servent uniquement à montrer hiérarchie, composants, états et densité.</w:t>
      </w:r>
    </w:p>
    <w:p>
      <w:pPr>
        <w:pStyle w:val="Heading2"/>
      </w:pPr>
      <w:r>
        <w:t>Dashboard</w:t>
      </w:r>
    </w:p>
    <w:p>
      <w:r>
        <w:rPr>
          <w:i/>
          <w:color w:val="718086"/>
        </w:rPr>
        <w:t>Vue synthétique : navigation, KPI, cartes et actions.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List Data</w:t>
      </w:r>
    </w:p>
    <w:p>
      <w:r>
        <w:rPr>
          <w:i/>
          <w:color w:val="718086"/>
        </w:rPr>
        <w:t>Liste/tableau : recherche, filtres, statuts et densité.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_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Detail</w:t>
      </w:r>
    </w:p>
    <w:p>
      <w:r>
        <w:rPr>
          <w:i/>
          <w:color w:val="718086"/>
        </w:rPr>
        <w:t>Fiche : hiérarchie, métadonnées et actions contextualisées.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Form</w:t>
      </w:r>
    </w:p>
    <w:p>
      <w:r>
        <w:rPr>
          <w:i/>
          <w:color w:val="718086"/>
        </w:rPr>
        <w:t>Formulaire : champs, labels, aide, validation et CTA.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Planning</w:t>
      </w:r>
    </w:p>
    <w:p>
      <w:r>
        <w:rPr>
          <w:i/>
          <w:color w:val="718086"/>
        </w:rPr>
        <w:t>Grille : jours, heures, blocs, états et conflits explicites.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Kanban Workflow</w:t>
      </w:r>
    </w:p>
    <w:p>
      <w:r>
        <w:rPr>
          <w:i/>
          <w:color w:val="718086"/>
        </w:rPr>
        <w:t>Colonnes et états : progression sans dépendre d’un métier précis.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Feedback Notifications</w:t>
      </w:r>
    </w:p>
    <w:p>
      <w:r>
        <w:rPr>
          <w:i/>
          <w:color w:val="718086"/>
        </w:rPr>
        <w:t>Succès, information, avertissement et erreur.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notific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Modal Confirmation</w:t>
      </w:r>
    </w:p>
    <w:p>
      <w:r>
        <w:rPr>
          <w:i/>
          <w:color w:val="718086"/>
        </w:rPr>
        <w:t>Confirmation : action, conséquence et alternatives.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_confi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Empty State</w:t>
      </w:r>
    </w:p>
    <w:p>
      <w:r>
        <w:rPr>
          <w:i/>
          <w:color w:val="718086"/>
        </w:rPr>
        <w:t>État vide : message clair et action principale.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ty_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Loading Skeleton</w:t>
      </w:r>
    </w:p>
    <w:p>
      <w:r>
        <w:rPr>
          <w:i/>
          <w:color w:val="718086"/>
        </w:rPr>
        <w:t>Chargement : continuité de structure sans animation excessive.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ing_skele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Mobile</w:t>
      </w:r>
    </w:p>
    <w:p>
      <w:r>
        <w:rPr>
          <w:i/>
          <w:color w:val="718086"/>
        </w:rPr>
        <w:t>Version mobile : consultation et actions ciblées.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p>
      <w:pPr>
        <w:pStyle w:val="Heading2"/>
      </w:pPr>
      <w:r>
        <w:t>Document Report</w:t>
      </w:r>
    </w:p>
    <w:p>
      <w:r>
        <w:rPr>
          <w:i/>
          <w:color w:val="718086"/>
        </w:rPr>
        <w:t>Rapport : combinaison Deep/Ivory/Clay/Sand pour documents.</w:t>
      </w:r>
    </w:p>
    <w:p>
      <w:r>
        <w:drawing>
          <wp:inline xmlns:a="http://schemas.openxmlformats.org/drawingml/2006/main" xmlns:pic="http://schemas.openxmlformats.org/drawingml/2006/picture">
            <wp:extent cx="5852160" cy="35530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_re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UI/UX de référence — écran générique. Les contenus sont fictifs et ne constituent pas une spécification fonctionnelle finale.</w:t>
      </w:r>
    </w:p>
    <w:sectPr w:rsidR="00FC693F" w:rsidRPr="0006063C" w:rsidSect="00034616">
      <w:headerReference w:type="default" r:id="rId22"/>
      <w:footerReference w:type="default" r:id="rId2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b w:val="0"/>
      <w:color w:val="2936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b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