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Black Ops One" w:hAnsi="Black Ops One"/>
          <w:color w:val="29363C"/>
          <w:sz w:val="56"/>
        </w:rPr>
        <w:t>TAKT</w:t>
      </w:r>
    </w:p>
    <w:p>
      <w:pPr>
        <w:pStyle w:val="Title"/>
        <w:jc w:val="center"/>
      </w:pPr>
      <w:r>
        <w:t>TAKT — Spécification Fonctionnelle</w:t>
      </w:r>
    </w:p>
    <w:p>
      <w:pPr>
        <w:jc w:val="center"/>
      </w:pPr>
      <w:r>
        <w:t>Structure de travail basée sur la spécification fonctionnelle de référence FET v1.3</w:t>
      </w:r>
    </w:p>
    <w:p>
      <w:pPr>
        <w:jc w:val="center"/>
      </w:pPr>
      <w:r>
        <w:t>V2.3.6 · Octobre 2026</w:t>
      </w:r>
    </w:p>
    <w:p>
      <w:r>
        <w:br w:type="page"/>
      </w:r>
    </w:p>
    <w:p>
      <w:pPr>
        <w:pStyle w:val="Heading1"/>
      </w:pPr>
      <w:r>
        <w:t>1. Objet</w:t>
      </w:r>
    </w:p>
    <w:p>
      <w:r>
        <w:t>Gérer la répartition pédagogique, les contraintes spatio-temporelles, la génération automatique avec FET, l’édition manuelle, la validation, la publication, le versionnement, l’archivage et les exports.</w:t>
      </w:r>
    </w:p>
    <w:p>
      <w:pPr>
        <w:pStyle w:val="Heading1"/>
      </w:pPr>
      <w:r>
        <w:t>2. Référence fonctionnelle</w:t>
      </w:r>
    </w:p>
    <w:p>
      <w:r>
        <w:t>La spécification FET v1.3 constitue la source de vérité fonctionnelle. Les règles métier ne sont pas remplacées par les mockups génériques.</w:t>
      </w:r>
    </w:p>
    <w:p>
      <w:pPr>
        <w:pStyle w:val="Heading1"/>
      </w:pPr>
      <w:r>
        <w:t>3. Périmètre de référence</w:t>
      </w:r>
    </w:p>
    <w:p>
      <w:r>
        <w:t>Université unique, site principal avec possibilité d’annexe ; déploiement initial on-premise ; moteur externe FET.</w:t>
      </w:r>
    </w:p>
    <w:p>
      <w:pPr>
        <w:pStyle w:val="Heading1"/>
      </w:pPr>
      <w:r>
        <w:t>4. Capacités de référence</w:t>
      </w:r>
    </w:p>
    <w:p>
      <w:pPr>
        <w:pStyle w:val="ListBullet"/>
      </w:pPr>
      <w:r>
        <w:t>Étudiants &lt; 2 000</w:t>
      </w:r>
    </w:p>
    <w:p>
      <w:pPr>
        <w:pStyle w:val="ListBullet"/>
      </w:pPr>
      <w:r>
        <w:t>Enseignants ~150</w:t>
      </w:r>
    </w:p>
    <w:p>
      <w:pPr>
        <w:pStyle w:val="ListBullet"/>
      </w:pPr>
      <w:r>
        <w:t>Départements 2</w:t>
      </w:r>
    </w:p>
    <w:p>
      <w:pPr>
        <w:pStyle w:val="ListBullet"/>
      </w:pPr>
      <w:r>
        <w:t>Formations ~20</w:t>
      </w:r>
    </w:p>
    <w:p>
      <w:pPr>
        <w:pStyle w:val="ListBullet"/>
      </w:pPr>
      <w:r>
        <w:t>Groupes TD/TP ~60</w:t>
      </w:r>
    </w:p>
    <w:p>
      <w:pPr>
        <w:pStyle w:val="ListBullet"/>
      </w:pPr>
      <w:r>
        <w:t>Salles ~40</w:t>
      </w:r>
    </w:p>
    <w:p>
      <w:pPr>
        <w:pStyle w:val="ListBullet"/>
      </w:pPr>
      <w:r>
        <w:t>2 semestres/an</w:t>
      </w:r>
    </w:p>
    <w:p>
      <w:pPr>
        <w:pStyle w:val="ListBullet"/>
      </w:pPr>
      <w:r>
        <w:t>14 semaines/semestre</w:t>
      </w:r>
    </w:p>
    <w:p>
      <w:pPr>
        <w:pStyle w:val="ListBullet"/>
      </w:pPr>
      <w:r>
        <w:t>Lundi à samedi</w:t>
      </w:r>
    </w:p>
    <w:p>
      <w:pPr>
        <w:pStyle w:val="ListBullet"/>
      </w:pPr>
      <w:r>
        <w:t>Pas FET de 30 minutes</w:t>
      </w:r>
    </w:p>
    <w:p>
      <w:pPr>
        <w:pStyle w:val="Heading1"/>
      </w:pPr>
      <w:r>
        <w:t>5. Fonctions majeures</w:t>
      </w:r>
    </w:p>
    <w:p>
      <w:pPr>
        <w:pStyle w:val="ListBullet"/>
      </w:pPr>
      <w:r>
        <w:t>Centralisation des données pédagogiques</w:t>
      </w:r>
    </w:p>
    <w:p>
      <w:pPr>
        <w:pStyle w:val="ListBullet"/>
      </w:pPr>
      <w:r>
        <w:t>Répartition pédagogique par département</w:t>
      </w:r>
    </w:p>
    <w:p>
      <w:pPr>
        <w:pStyle w:val="ListBullet"/>
      </w:pPr>
      <w:r>
        <w:t>Calcul des charges et DU</w:t>
      </w:r>
    </w:p>
    <w:p>
      <w:pPr>
        <w:pStyle w:val="ListBullet"/>
      </w:pPr>
      <w:r>
        <w:t>Générations multiples et comparaison</w:t>
      </w:r>
    </w:p>
    <w:p>
      <w:pPr>
        <w:pStyle w:val="ListBullet"/>
      </w:pPr>
      <w:r>
        <w:t>Édition manuelle avec recalcul des conflits</w:t>
      </w:r>
    </w:p>
    <w:p>
      <w:pPr>
        <w:pStyle w:val="ListBullet"/>
      </w:pPr>
      <w:r>
        <w:t>Validation, publication, historique</w:t>
      </w:r>
    </w:p>
    <w:p>
      <w:pPr>
        <w:pStyle w:val="ListBullet"/>
      </w:pPr>
      <w:r>
        <w:t>Archivage des versions et années</w:t>
      </w:r>
    </w:p>
    <w:p>
      <w:pPr>
        <w:pStyle w:val="ListBullet"/>
      </w:pPr>
      <w:r>
        <w:t>Exports PDF et Excel</w:t>
      </w:r>
    </w:p>
    <w:p>
      <w:pPr>
        <w:pStyle w:val="Heading1"/>
      </w:pPr>
      <w:r>
        <w:t>6. Rôles</w:t>
      </w:r>
    </w:p>
    <w:p>
      <w:r>
        <w:t>Administrateur, Gestionnaire des emplois du temps, Responsable de département, Directeur et Secrétaire général, conformément à la spécification de référence.</w:t>
      </w:r>
    </w:p>
    <w:p>
      <w:pPr>
        <w:pStyle w:val="Heading1"/>
      </w:pPr>
      <w:r>
        <w:t>7. Note de cadrage</w:t>
      </w:r>
    </w:p>
    <w:p>
      <w:r>
        <w:t>Cette version est un gabarit de spécification intégrable au système documentaire TAKT. Toute exigence détaillée doit rester traçable à la spécification fonctionnelle de référence ou être explicitement identifiée comme nouvelle décision.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0" w:right="1800" w:bottom="96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ora" w:hAnsi="Sora"/>
      <w:b/>
      <w:bCs/>
      <w:color w:val="29363C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ra" w:hAnsi="Sora"/>
      <w:b/>
      <w:bCs/>
      <w:color w:val="B9826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ora" w:hAnsi="Sora"/>
      <w:b/>
      <w:bCs/>
      <w:color w:val="7D938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ora" w:hAnsi="Sora"/>
      <w:color w:val="29363C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