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TAKT  ·  Design System  ·  V2.3.6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205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KT_logo_v2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0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Modèle Word TAKT — V2.3.6</w:t>
      </w:r>
    </w:p>
    <w:p>
      <w:pPr>
        <w:jc w:val="center"/>
      </w:pPr>
      <w:r>
        <w:rPr>
          <w:color w:val="56646A"/>
          <w:sz w:val="20"/>
        </w:rPr>
        <w:t>Direction : Argile &amp; Sable chaleureux  ·  Référence logo : TAKT_logo_master_color.svg</w:t>
      </w:r>
    </w:p>
    <w:p>
      <w:r>
        <w:br w:type="page"/>
      </w:r>
    </w:p>
    <w:p>
      <w:pPr>
        <w:pStyle w:val="Heading1"/>
      </w:pPr>
      <w:r>
        <w:t>Objet du modèle</w:t>
      </w:r>
    </w:p>
    <w:p>
      <w:r>
        <w:t>Modèle générique pour produire les documents projet TAKT en cohérence avec la charte. À décliner en spécification fonctionnelle, technique, rapport, compte rendu, cahier de recette, guide utilisateur et décision record.</w:t>
      </w:r>
    </w:p>
    <w:p>
      <w:pPr>
        <w:pStyle w:val="Heading1"/>
      </w:pPr>
      <w:r>
        <w:t>Architecture recommandée</w:t>
      </w:r>
    </w:p>
    <w:p>
      <w:pPr>
        <w:pStyle w:val="ListBullet"/>
      </w:pPr>
      <w:r>
        <w:t>Page de couverture : logo, titre, version, auteur, date, statut.</w:t>
      </w:r>
    </w:p>
    <w:p>
      <w:pPr>
        <w:pStyle w:val="ListBullet"/>
      </w:pPr>
      <w:r>
        <w:t>Résumé exécutif.</w:t>
      </w:r>
    </w:p>
    <w:p>
      <w:pPr>
        <w:pStyle w:val="ListBullet"/>
      </w:pPr>
      <w:r>
        <w:t>Sommaire automatique.</w:t>
      </w:r>
    </w:p>
    <w:p>
      <w:pPr>
        <w:pStyle w:val="ListBullet"/>
      </w:pPr>
      <w:r>
        <w:t>Sections H1/H2/H3 avec Sora ; texte et tableaux en Inter.</w:t>
      </w:r>
    </w:p>
    <w:p>
      <w:pPr>
        <w:pStyle w:val="ListBullet"/>
      </w:pPr>
      <w:r>
        <w:t>Encadrés : Décision, Attention, Exemple, Définition.</w:t>
      </w:r>
    </w:p>
    <w:p>
      <w:pPr>
        <w:pStyle w:val="ListBullet"/>
      </w:pPr>
      <w:r>
        <w:t>Historique des versions.</w:t>
      </w:r>
    </w:p>
    <w:p>
      <w:pPr>
        <w:pStyle w:val="ListBullet"/>
      </w:pPr>
      <w:r>
        <w:t>En-tête/pied de page : TAKT + version + confidentialité/statut si nécessaire.</w:t>
      </w:r>
    </w:p>
    <w:p>
      <w:pPr>
        <w:pStyle w:val="Heading1"/>
      </w:pPr>
      <w:r>
        <w:t>Styles</w:t>
      </w:r>
    </w:p>
    <w:p>
      <w:pPr>
        <w:pStyle w:val="ListBullet"/>
      </w:pPr>
      <w:r>
        <w:t>Title : Sora 30 pt, Deep.</w:t>
      </w:r>
    </w:p>
    <w:p>
      <w:pPr>
        <w:pStyle w:val="ListBullet"/>
      </w:pPr>
      <w:r>
        <w:t>H1 : Sora 21 pt, Deep.</w:t>
      </w:r>
    </w:p>
    <w:p>
      <w:pPr>
        <w:pStyle w:val="ListBullet"/>
      </w:pPr>
      <w:r>
        <w:t>H2 : Sora 15 pt, Clay.</w:t>
      </w:r>
    </w:p>
    <w:p>
      <w:pPr>
        <w:pStyle w:val="ListBullet"/>
      </w:pPr>
      <w:r>
        <w:t>H3 : Sora 11 pt, Sage.</w:t>
      </w:r>
    </w:p>
    <w:p>
      <w:pPr>
        <w:pStyle w:val="ListBullet"/>
      </w:pPr>
      <w:r>
        <w:t>Body : Inter 10–11 pt, Deep.</w:t>
      </w:r>
    </w:p>
    <w:p>
      <w:pPr>
        <w:pStyle w:val="ListBullet"/>
      </w:pPr>
      <w:r>
        <w:t>Caption : Inter 8–9 pt, Deep/tertiary.</w:t>
      </w:r>
    </w:p>
    <w:p>
      <w:pPr>
        <w:pStyle w:val="Heading1"/>
      </w:pPr>
      <w:r>
        <w:t>Blocs documentaires</w:t>
      </w:r>
    </w:p>
    <w:p>
      <w:r>
        <w:rPr>
          <w:b/>
          <w:color w:val="B98268"/>
        </w:rPr>
        <w:t xml:space="preserve">DÉCISION  —  </w:t>
      </w:r>
      <w:r>
        <w:t>Choix validé, date, responsable, impact.</w:t>
      </w:r>
    </w:p>
    <w:p>
      <w:r>
        <w:rPr>
          <w:b/>
          <w:color w:val="B98268"/>
        </w:rPr>
        <w:t xml:space="preserve">ATTENTION  —  </w:t>
      </w:r>
      <w:r>
        <w:t>Point de vigilance ou contrainte.</w:t>
      </w:r>
    </w:p>
    <w:p>
      <w:r>
        <w:rPr>
          <w:b/>
          <w:color w:val="B98268"/>
        </w:rPr>
        <w:t xml:space="preserve">EXEMPLE  —  </w:t>
      </w:r>
      <w:r>
        <w:t>Cas illustratif explicitement fictif.</w:t>
      </w:r>
    </w:p>
    <w:p>
      <w:r>
        <w:rPr>
          <w:b/>
          <w:color w:val="B98268"/>
        </w:rPr>
        <w:t xml:space="preserve">DÉFINITION  —  </w:t>
      </w:r>
      <w:r>
        <w:t>Terme ou concept à conserver de manière stable.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b w:val="0"/>
      <w:color w:val="2936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b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