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TAKT  ·  Design System  ·  V2.3.6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205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T_logo_v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0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TAKT — Charte graphique &amp; Design System</w:t>
      </w:r>
    </w:p>
    <w:p>
      <w:pPr>
        <w:jc w:val="center"/>
      </w:pPr>
      <w:r>
        <w:rPr>
          <w:color w:val="56646A"/>
          <w:sz w:val="20"/>
        </w:rPr>
        <w:t>Direction : Argile &amp; Sable chaleureux  ·  Référence logo : TAKT_logo_master_color.svg</w:t>
      </w:r>
    </w:p>
    <w:p>
      <w:r>
        <w:br w:type="page"/>
      </w:r>
    </w:p>
    <w:p>
      <w:pPr>
        <w:pStyle w:val="Heading1"/>
      </w:pPr>
      <w:r>
        <w:t>1. ADN de marque</w:t>
      </w:r>
    </w:p>
    <w:p>
      <w:pPr>
        <w:pStyle w:val="ListBullet"/>
      </w:pPr>
      <w:r>
        <w:t>Clair</w:t>
      </w:r>
    </w:p>
    <w:p>
      <w:pPr>
        <w:pStyle w:val="ListBullet"/>
      </w:pPr>
      <w:r>
        <w:t>Humain</w:t>
      </w:r>
    </w:p>
    <w:p>
      <w:pPr>
        <w:pStyle w:val="ListBullet"/>
      </w:pPr>
      <w:r>
        <w:t>Structuré</w:t>
      </w:r>
    </w:p>
    <w:p>
      <w:pPr>
        <w:pStyle w:val="ListBullet"/>
      </w:pPr>
      <w:r>
        <w:t>Chaleureux</w:t>
      </w:r>
    </w:p>
    <w:p>
      <w:pPr>
        <w:pStyle w:val="ListBullet"/>
      </w:pPr>
      <w:r>
        <w:t>Simple</w:t>
      </w:r>
    </w:p>
    <w:p>
      <w:pPr>
        <w:pStyle w:val="ListBullet"/>
      </w:pPr>
      <w:r>
        <w:t>Fiable</w:t>
      </w:r>
    </w:p>
    <w:p>
      <w:pPr>
        <w:pStyle w:val="ListBullet"/>
      </w:pPr>
      <w:r>
        <w:t>Contemporain</w:t>
      </w:r>
    </w:p>
    <w:p/>
    <w:p>
      <w:pPr>
        <w:pStyle w:val="Heading1"/>
      </w:pPr>
      <w:r>
        <w:t>2. Positionnement visuel</w:t>
      </w:r>
    </w:p>
    <w:p>
      <w:pPr>
        <w:pStyle w:val="ListBullet"/>
      </w:pPr>
      <w:r>
        <w:t>Le système TAKT repose sur une combinaison de géométrie structurée, de chaleur chromatique et d’espace.</w:t>
      </w:r>
    </w:p>
    <w:p>
      <w:pPr>
        <w:pStyle w:val="ListBullet"/>
      </w:pPr>
      <w:r>
        <w:t>Langage central : géométrie + ligne + points + rythme + espace.</w:t>
      </w:r>
    </w:p>
    <w:p>
      <w:pPr>
        <w:pStyle w:val="ListBullet"/>
      </w:pPr>
      <w:r>
        <w:t>La palette Argile &amp; Sable apporte une chaleur maîtrisée sans affaiblir la lisibilité.</w:t>
      </w:r>
    </w:p>
    <w:p/>
    <w:p>
      <w:pPr>
        <w:pStyle w:val="Heading1"/>
      </w:pPr>
      <w:r>
        <w:t>3. Logo</w:t>
      </w:r>
    </w:p>
    <w:p>
      <w:pPr>
        <w:pStyle w:val="ListBullet"/>
      </w:pPr>
      <w:r>
        <w:t>Le fichier officiel de référence est TAKT_logo_master_color.svg, fourni en vectoriel. La version V2.3.6 reprend le logo mis à jour sans le cadre vide.</w:t>
      </w:r>
    </w:p>
    <w:p>
      <w:pPr>
        <w:pStyle w:val="ListBullet"/>
      </w:pPr>
      <w:r>
        <w:t>Le logo ne doit pas être retapé avec Black Ops One : le master vectoriel fait foi.</w:t>
      </w:r>
    </w:p>
    <w:p>
      <w:pPr>
        <w:pStyle w:val="ListBullet"/>
      </w:pPr>
      <w:r>
        <w:t>Usages : version couleur, monochrome Deep, version claire/inversée ; variantes supplémentaires uniquement après validation.</w:t>
      </w:r>
    </w:p>
    <w:p>
      <w:pPr>
        <w:pStyle w:val="ListBullet"/>
      </w:pPr>
      <w:r>
        <w:t>Interdits : déformation, rotation, recoloration arbitraire, ajout d’ombre/contour, modification de la ligne ou des quatre points, recomposition.</w:t>
      </w:r>
    </w:p>
    <w:p/>
    <w:p>
      <w:pPr>
        <w:pStyle w:val="Heading1"/>
      </w:pPr>
      <w:r>
        <w:t>4. Typographie</w:t>
      </w:r>
    </w:p>
    <w:p>
      <w:pPr>
        <w:pStyle w:val="ListBullet"/>
      </w:pPr>
      <w:r>
        <w:t>Black Ops One : signature/logo uniquement, très rare.</w:t>
      </w:r>
    </w:p>
    <w:p>
      <w:pPr>
        <w:pStyle w:val="ListBullet"/>
      </w:pPr>
      <w:r>
        <w:t>Sora : titres, headings, communication et affichage.</w:t>
      </w:r>
    </w:p>
    <w:p>
      <w:pPr>
        <w:pStyle w:val="ListBullet"/>
      </w:pPr>
      <w:r>
        <w:t>Inter : interface, corps, documents, tableaux et données.</w:t>
      </w:r>
    </w:p>
    <w:p>
      <w:pPr>
        <w:pStyle w:val="ListBullet"/>
      </w:pPr>
      <w:r>
        <w:t>Pour les plannings et métriques : chiffres tabulaires Inter recommandés.</w:t>
      </w:r>
    </w:p>
    <w:p/>
    <w:p>
      <w:pPr>
        <w:pStyle w:val="Heading1"/>
      </w:pPr>
      <w:r>
        <w:t>5. Architecture couleur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63C"/>
          </w:tcPr>
          <w:p>
            <w:r/>
            <w:r>
              <w:rPr>
                <w:rFonts w:ascii="Inter" w:hAnsi="Inter"/>
                <w:b/>
                <w:color w:val="FBFCFF"/>
                <w:sz w:val="18"/>
              </w:rPr>
              <w:t>Couleur</w:t>
            </w:r>
          </w:p>
        </w:tc>
        <w:tc>
          <w:tcPr>
            <w:tcW w:type="dxa" w:w="3408"/>
            <w:shd w:fill="29363C"/>
          </w:tcPr>
          <w:p>
            <w:r/>
            <w:r>
              <w:rPr>
                <w:rFonts w:ascii="Inter" w:hAnsi="Inter"/>
                <w:b/>
                <w:color w:val="FBFCFF"/>
                <w:sz w:val="18"/>
              </w:rPr>
              <w:t>HEX</w:t>
            </w:r>
          </w:p>
        </w:tc>
        <w:tc>
          <w:tcPr>
            <w:tcW w:type="dxa" w:w="3408"/>
            <w:shd w:fill="29363C"/>
          </w:tcPr>
          <w:p>
            <w:r/>
            <w:r>
              <w:rPr>
                <w:rFonts w:ascii="Inter" w:hAnsi="Inter"/>
                <w:b/>
                <w:color w:val="FBFCFF"/>
                <w:sz w:val="18"/>
              </w:rPr>
              <w:t>Usage</w:t>
            </w:r>
          </w:p>
        </w:tc>
      </w:tr>
      <w:tr>
        <w:tc>
          <w:tcPr>
            <w:tcW w:type="dxa" w:w="3408"/>
            <w:shd w:fill="#29363C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TAKT Deep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#29363C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Structure, navigation, texte principal</w:t>
            </w:r>
          </w:p>
        </w:tc>
      </w:tr>
      <w:tr>
        <w:tc>
          <w:tcPr>
            <w:tcW w:type="dxa" w:w="3408"/>
            <w:shd w:fill="#B98268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TAKT Clay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#B98268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Signature, CTA, sélection, accent</w:t>
            </w:r>
          </w:p>
        </w:tc>
      </w:tr>
      <w:tr>
        <w:tc>
          <w:tcPr>
            <w:tcW w:type="dxa" w:w="3408"/>
            <w:shd w:fill="#7D938A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TAKT Sage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#7D938A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Secondaire, catégories, données</w:t>
            </w:r>
          </w:p>
        </w:tc>
      </w:tr>
      <w:tr>
        <w:tc>
          <w:tcPr>
            <w:tcW w:type="dxa" w:w="3408"/>
            <w:shd w:fill="#E9D8BF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TAKT Sand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#E9D8BF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Surfaces éditoriales et cartes</w:t>
            </w:r>
          </w:p>
        </w:tc>
      </w:tr>
      <w:tr>
        <w:tc>
          <w:tcPr>
            <w:tcW w:type="dxa" w:w="3408"/>
            <w:shd w:fill="#FBFCFF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TAKT Ivory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#FBFCFF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Fond principal</w:t>
            </w:r>
          </w:p>
        </w:tc>
      </w:tr>
      <w:tr>
        <w:tc>
          <w:tcPr>
            <w:tcW w:type="dxa" w:w="3408"/>
            <w:shd w:fill="#F5F3BB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TAKT Sun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#F5F3BB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Highlight rare</w:t>
            </w:r>
          </w:p>
        </w:tc>
      </w:tr>
      <w:tr>
        <w:tc>
          <w:tcPr>
            <w:tcW w:type="dxa" w:w="3408"/>
            <w:shd w:fill="#3F765E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Success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#3F765E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État positif</w:t>
            </w:r>
          </w:p>
        </w:tc>
      </w:tr>
      <w:tr>
        <w:tc>
          <w:tcPr>
            <w:tcW w:type="dxa" w:w="3408"/>
            <w:shd w:fill="#B47732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Warning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#B47732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Avertissement</w:t>
            </w:r>
          </w:p>
        </w:tc>
      </w:tr>
      <w:tr>
        <w:tc>
          <w:tcPr>
            <w:tcW w:type="dxa" w:w="3408"/>
            <w:shd w:fill="#B6534B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Error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#B6534B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Erreur</w:t>
            </w:r>
          </w:p>
        </w:tc>
      </w:tr>
      <w:tr>
        <w:tc>
          <w:tcPr>
            <w:tcW w:type="dxa" w:w="3408"/>
            <w:shd w:fill="#526D78"/>
          </w:tcPr>
          <w:p>
            <w:r/>
            <w:r>
              <w:rPr>
                <w:rFonts w:ascii="Inter" w:hAnsi="Inter"/>
                <w:b/>
                <w:color w:val="29363C"/>
                <w:sz w:val="18"/>
              </w:rPr>
              <w:t>Info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#526D78</w:t>
            </w:r>
          </w:p>
        </w:tc>
        <w:tc>
          <w:tcPr>
            <w:tcW w:type="dxa" w:w="3408"/>
          </w:tcPr>
          <w:p>
            <w:r/>
            <w:r>
              <w:rPr>
                <w:rFonts w:ascii="Inter" w:hAnsi="Inter"/>
                <w:b w:val="0"/>
                <w:color w:val="29363C"/>
                <w:sz w:val="18"/>
              </w:rPr>
              <w:t>Information</w:t>
            </w:r>
          </w:p>
        </w:tc>
      </w:tr>
    </w:tbl>
    <w:p/>
    <w:p>
      <w:pPr>
        <w:pStyle w:val="Heading1"/>
      </w:pPr>
      <w:r>
        <w:t>6. Tokens sémantiques</w:t>
      </w:r>
    </w:p>
    <w:p>
      <w:pPr>
        <w:pStyle w:val="ListBullet"/>
      </w:pPr>
      <w:r>
        <w:t>color.bg.primary = #FBFCFF</w:t>
      </w:r>
    </w:p>
    <w:p>
      <w:pPr>
        <w:pStyle w:val="ListBullet"/>
      </w:pPr>
      <w:r>
        <w:t>color.bg.warm = #FCF9F4</w:t>
      </w:r>
    </w:p>
    <w:p>
      <w:pPr>
        <w:pStyle w:val="ListBullet"/>
      </w:pPr>
      <w:r>
        <w:t>color.text.primary = #29363C</w:t>
      </w:r>
    </w:p>
    <w:p>
      <w:pPr>
        <w:pStyle w:val="ListBullet"/>
      </w:pPr>
      <w:r>
        <w:t>color.text.secondary = #56646A</w:t>
      </w:r>
    </w:p>
    <w:p>
      <w:pPr>
        <w:pStyle w:val="ListBullet"/>
      </w:pPr>
      <w:r>
        <w:t>color.text.tertiary = #68777D</w:t>
      </w:r>
    </w:p>
    <w:p>
      <w:pPr>
        <w:pStyle w:val="ListBullet"/>
      </w:pPr>
      <w:r>
        <w:t>color.border.subtle = #E7EAEB</w:t>
      </w:r>
    </w:p>
    <w:p>
      <w:pPr>
        <w:pStyle w:val="ListBullet"/>
      </w:pPr>
      <w:r>
        <w:t>color.border.default = #D1D7D8</w:t>
      </w:r>
    </w:p>
    <w:p>
      <w:pPr>
        <w:pStyle w:val="ListBullet"/>
      </w:pPr>
      <w:r>
        <w:t>color.brand.primary = #B98268</w:t>
      </w:r>
    </w:p>
    <w:p>
      <w:pPr>
        <w:pStyle w:val="ListBullet"/>
      </w:pPr>
      <w:r>
        <w:t>color.brand.secondary = #7D938A</w:t>
      </w:r>
    </w:p>
    <w:p>
      <w:pPr>
        <w:pStyle w:val="ListBullet"/>
      </w:pPr>
      <w:r>
        <w:t>color.brand.dark = #29363C</w:t>
      </w:r>
    </w:p>
    <w:p>
      <w:pPr>
        <w:pStyle w:val="ListBullet"/>
      </w:pPr>
      <w:r>
        <w:t>color.status.success = #3F765E</w:t>
      </w:r>
    </w:p>
    <w:p>
      <w:pPr>
        <w:pStyle w:val="ListBullet"/>
      </w:pPr>
      <w:r>
        <w:t>color.status.warning = #B47732</w:t>
      </w:r>
    </w:p>
    <w:p>
      <w:pPr>
        <w:pStyle w:val="ListBullet"/>
      </w:pPr>
      <w:r>
        <w:t>color.status.error = #B6534B</w:t>
      </w:r>
    </w:p>
    <w:p>
      <w:pPr>
        <w:pStyle w:val="ListBullet"/>
      </w:pPr>
      <w:r>
        <w:t>color.status.info = #526D78</w:t>
      </w:r>
    </w:p>
    <w:p>
      <w:pPr>
        <w:pStyle w:val="ListBullet"/>
      </w:pPr>
      <w:r>
        <w:t>color.accent.sun = #F5F3BB</w:t>
      </w:r>
    </w:p>
    <w:p/>
    <w:p>
      <w:pPr>
        <w:pStyle w:val="Heading1"/>
      </w:pPr>
      <w:r>
        <w:t>7. Géométrie, grille &amp; espacements</w:t>
      </w:r>
    </w:p>
    <w:p>
      <w:pPr>
        <w:pStyle w:val="ListBullet"/>
      </w:pPr>
      <w:r>
        <w:t>Base : 4 px. Échelle courante : 4, 8, 12, 16, 24, 32, 40, 48, 64 px.</w:t>
      </w:r>
    </w:p>
    <w:p>
      <w:pPr>
        <w:pStyle w:val="ListBullet"/>
      </w:pPr>
      <w:r>
        <w:t>Cartes : 12 px. Contrôles : 8 px. Pills/badges : 999 px. Contrôles tactiles : 40–44 px minimum.</w:t>
      </w:r>
    </w:p>
    <w:p>
      <w:pPr>
        <w:pStyle w:val="ListBullet"/>
      </w:pPr>
      <w:r>
        <w:t>Les ombres restent discrètes ; privilégier bordures, contraste et hiérarchie des surfaces.</w:t>
      </w:r>
    </w:p>
    <w:p/>
    <w:p>
      <w:pPr>
        <w:pStyle w:val="Heading1"/>
      </w:pPr>
      <w:r>
        <w:t>8. Motif propriétaire</w:t>
      </w:r>
    </w:p>
    <w:p>
      <w:pPr>
        <w:pStyle w:val="ListBullet"/>
      </w:pPr>
      <w:r>
        <w:t>Une ligne horizontale Clay et quatre points constituent un motif secondaire dérivé du logo.</w:t>
      </w:r>
    </w:p>
    <w:p>
      <w:pPr>
        <w:pStyle w:val="ListBullet"/>
      </w:pPr>
      <w:r>
        <w:t>Le motif peut structurer séparateurs, couvertures, onboarding, présentations et documents.</w:t>
      </w:r>
    </w:p>
    <w:p>
      <w:pPr>
        <w:pStyle w:val="ListBullet"/>
      </w:pPr>
      <w:r>
        <w:t>Aucune signification métier obligatoire n’est attribuée aux quatre points.</w:t>
      </w:r>
    </w:p>
    <w:p/>
    <w:p>
      <w:pPr>
        <w:pStyle w:val="Heading1"/>
      </w:pPr>
      <w:r>
        <w:t>9. Iconographie &amp; illustration</w:t>
      </w:r>
    </w:p>
    <w:p>
      <w:pPr>
        <w:pStyle w:val="ListBullet"/>
      </w:pPr>
      <w:r>
        <w:t>Icônes linéaires, simples, légèrement arrondies, avec cohérence de graisse.</w:t>
      </w:r>
    </w:p>
    <w:p>
      <w:pPr>
        <w:pStyle w:val="ListBullet"/>
      </w:pPr>
      <w:r>
        <w:t>Illustration : géométrique, sobre, chaleureuse ; Deep pour la structure, Clay/Sage/Sand pour les accents.</w:t>
      </w:r>
    </w:p>
    <w:p/>
    <w:p>
      <w:pPr>
        <w:pStyle w:val="Heading1"/>
      </w:pPr>
      <w:r>
        <w:t>10. UI / composants</w:t>
      </w:r>
    </w:p>
    <w:p>
      <w:pPr>
        <w:pStyle w:val="ListBullet"/>
      </w:pPr>
      <w:r>
        <w:t>Primaire : Deep avec contenu clair.</w:t>
      </w:r>
    </w:p>
    <w:p>
      <w:pPr>
        <w:pStyle w:val="ListBullet"/>
      </w:pPr>
      <w:r>
        <w:t>Accent/CTA/selection : Clay avec usage contextuel.</w:t>
      </w:r>
    </w:p>
    <w:p>
      <w:pPr>
        <w:pStyle w:val="ListBullet"/>
      </w:pPr>
      <w:r>
        <w:t>Secondaire : surface claire + bordure.</w:t>
      </w:r>
    </w:p>
    <w:p>
      <w:pPr>
        <w:pStyle w:val="ListBullet"/>
      </w:pPr>
      <w:r>
        <w:t>États : Success, Warning, Error, Info ; l’information ne doit jamais dépendre de la couleur seule.</w:t>
      </w:r>
    </w:p>
    <w:p/>
    <w:p>
      <w:pPr>
        <w:pStyle w:val="Heading1"/>
      </w:pPr>
      <w:r>
        <w:t>11. Planning &amp; data visualisation</w:t>
      </w:r>
    </w:p>
    <w:p>
      <w:pPr>
        <w:pStyle w:val="ListBullet"/>
      </w:pPr>
      <w:r>
        <w:t>Deep pour les données principales ; Clay pour le focus ; Sage pour le secondaire ; Sand/Sun pour surfaces et annotations.</w:t>
      </w:r>
    </w:p>
    <w:p>
      <w:pPr>
        <w:pStyle w:val="ListBullet"/>
      </w:pPr>
      <w:r>
        <w:t>Les blocs de planning doivent rester lisibles, aérés et hiérarchisés. Les conflits doivent être explicitement signalés par texte, icône ou état, pas uniquement par couleur.</w:t>
      </w:r>
    </w:p>
    <w:p/>
    <w:p>
      <w:pPr>
        <w:pStyle w:val="Heading1"/>
      </w:pPr>
      <w:r>
        <w:t>12. Voix &amp; ton</w:t>
      </w:r>
    </w:p>
    <w:p>
      <w:pPr>
        <w:pStyle w:val="ListBullet"/>
      </w:pPr>
      <w:r>
        <w:t>Clair, humain, direct, calme et non alarmiste.</w:t>
      </w:r>
    </w:p>
    <w:p>
      <w:pPr>
        <w:pStyle w:val="ListBullet"/>
      </w:pPr>
      <w:r>
        <w:t>Éviter le jargon inutile, les messages culpabilisants et la surcharge visuelle.</w:t>
      </w:r>
    </w:p>
    <w:p/>
    <w:p>
      <w:pPr>
        <w:pStyle w:val="Heading1"/>
      </w:pPr>
      <w:r>
        <w:t>13. Accessibilité</w:t>
      </w:r>
    </w:p>
    <w:p>
      <w:pPr>
        <w:pStyle w:val="ListBullet"/>
      </w:pPr>
      <w:r>
        <w:t>Deep est la référence pour le texte principal sur Ivory.</w:t>
      </w:r>
    </w:p>
    <w:p>
      <w:pPr>
        <w:pStyle w:val="ListBullet"/>
      </w:pPr>
      <w:r>
        <w:t>Clay et Sage ne doivent pas être utilisés seuls comme texte courant sur Ivory si le contraste est insuffisant.</w:t>
      </w:r>
    </w:p>
    <w:p>
      <w:pPr>
        <w:pStyle w:val="ListBullet"/>
      </w:pPr>
      <w:r>
        <w:t>Toujours compléter la couleur par libellé, icône, forme ou état textuel.</w:t>
      </w:r>
    </w:p>
    <w:p/>
    <w:p>
      <w:pPr>
        <w:pStyle w:val="Heading1"/>
      </w:pPr>
      <w:r>
        <w:t>14. Responsive &amp; motion</w:t>
      </w:r>
    </w:p>
    <w:p>
      <w:pPr>
        <w:pStyle w:val="ListBullet"/>
      </w:pPr>
      <w:r>
        <w:t>Desktop : expérience complète, notamment pour les grilles/plannings complexes.</w:t>
      </w:r>
    </w:p>
    <w:p>
      <w:pPr>
        <w:pStyle w:val="ListBullet"/>
      </w:pPr>
      <w:r>
        <w:t>Tablet : réduction des panneaux secondaires.</w:t>
      </w:r>
    </w:p>
    <w:p>
      <w:pPr>
        <w:pStyle w:val="ListBullet"/>
      </w:pPr>
      <w:r>
        <w:t>Mobile : consultation et actions ciblées plutôt qu’édition exhaustive d’une grille complexe.</w:t>
      </w:r>
    </w:p>
    <w:p>
      <w:pPr>
        <w:pStyle w:val="ListBullet"/>
      </w:pPr>
      <w:r>
        <w:t>Motion courte, fonctionnelle et discrète.</w:t>
      </w:r>
    </w:p>
    <w:p/>
    <w:p>
      <w:pPr>
        <w:pStyle w:val="Heading1"/>
      </w:pPr>
      <w:r>
        <w:t>15. Gouvernance</w:t>
      </w:r>
    </w:p>
    <w:p>
      <w:pPr>
        <w:pStyle w:val="ListBullet"/>
      </w:pPr>
      <w:r>
        <w:t>Le logo master est le SVG fourni par le projet.</w:t>
      </w:r>
    </w:p>
    <w:p>
      <w:pPr>
        <w:pStyle w:val="ListBullet"/>
      </w:pPr>
      <w:r>
        <w:t>Toute nouvelle couleur, variante logo, composant ou pattern doit être ajouté au système avant diffusion.</w:t>
      </w:r>
    </w:p>
    <w:p>
      <w:pPr>
        <w:pStyle w:val="ListBullet"/>
      </w:pPr>
      <w:r>
        <w:t>La présente V2.3.6 fige les choix visuels de base ; les écrans génériques ne valent pas spécification produit finale.</w:t>
      </w:r>
    </w:p>
    <w:p/>
    <w:p>
      <w:pPr/>
      <w:r>
        <w:t>V2.3.6.6 — Correctifs d’implémentation</w:t>
      </w:r>
    </w:p>
    <w:p>
      <w:pPr/>
      <w:r>
        <w:t>Accessibilité des états : sur Ivory, #B47732 (Warning) et #718086 (text.tertiary) ne sont pas utilisés comme texte courant. Ils sont réservés aux icônes, bordures et repères. Le texte utilise respectivement #926531 et TAKT Deep #29363C. Les variantes *.text du JSON sont la référence.</w:t>
      </w:r>
    </w:p>
    <w:p>
      <w:pPr/>
      <w:r>
        <w:t>Focus clavier : sur la navigation Deep, l’anneau de focus est Ivory #FBFCFF, 2 px, offset 2 px. Deep ne doit jamais être utilisé comme anneau sur fond Deep.</w:t>
      </w:r>
    </w:p>
    <w:p>
      <w:pPr/>
      <w:r>
        <w:t>Contraste désactivé : #8F9B9F est réservé aux contrôles désactivés et explicitement exempté du test automatique AA des textes.</w:t>
      </w:r>
    </w:p>
    <w:p>
      <w:pPr/>
      <w:r>
        <w:t>Exports : les ombres, le mode impression monochrome et le filigrane BROUILLON sont désormais tokenisés dans le JSON maître. Le filigrane est réservé aux documents non publiés.</w:t>
      </w:r>
    </w:p>
    <w:p>
      <w:r>
        <w:br w:type="page"/>
      </w:r>
    </w:p>
    <w:p>
      <w:pPr>
        <w:pStyle w:val="Heading1"/>
      </w:pPr>
      <w:r>
        <w:t>V2.3.6.6 — Correctifs</w:t>
      </w:r>
    </w:p>
    <w:p>
      <w:r>
        <w:t>V2.3.6.6 — Correctifs accessibilité et cohérence</w:t>
      </w:r>
    </w:p>
    <w:p>
      <w:r>
        <w:t>• Focus: les tokens de surface sont nommés on_light_surfaces et on_deep_surfaces; ils ne désignent pas un thème sombre.</w:t>
      </w:r>
    </w:p>
    <w:p>
      <w:r>
        <w:t>• Textes de marque: les variantes accessibles ont été recalibrées pour conserver AA sur toutes les surfaces claires déclarées (Ivory, Warm, Inset, Card, Elevated).</w:t>
      </w:r>
    </w:p>
    <w:p>
      <w:r>
        <w:t>• A_PLACER: la surface Sand seule est insuffisante; bordure #8A9396 + icône obligatoires.</w:t>
      </w:r>
    </w:p>
    <w:p>
      <w:r>
        <w:t>• Impression: bordure #808080 minimum lorsque la bordure porte une information.</w:t>
      </w:r>
    </w:p>
    <w:p>
      <w:r>
        <w:t>• Sévérités: terminologie canonique UI alignée sur la SF: BLOQUANT / AVERTISSEMENT / INFORMATION.</w:t>
      </w:r>
    </w:p>
    <w:p>
      <w:pPr>
        <w:pStyle w:val="Heading2"/>
      </w:pPr>
      <w:r>
        <w:t>V2.3.6 — compléments d’usage</w:t>
      </w:r>
    </w:p>
    <w:p>
      <w:pPr>
        <w:pStyle w:val="ListBullet"/>
      </w:pPr>
      <w:r>
        <w:t>Le système de marque reste centré sur TAKT_3 et la direction Argile &amp; Sable chaleureux.</w:t>
      </w:r>
    </w:p>
    <w:p>
      <w:pPr>
        <w:pStyle w:val="ListBullet"/>
      </w:pPr>
      <w:r>
        <w:t>Aucun document, mockup ou PDF du package ne doit citer ancienne référence typographique.</w:t>
      </w:r>
    </w:p>
    <w:p>
      <w:pPr>
        <w:pStyle w:val="ListBullet"/>
      </w:pPr>
      <w:r>
        <w:t>Les variantes d’icônes métier non Lucide sont livrées dans le Design System et doivent être utilisées telles quelles pour conserver la cohérence graphique.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b w:val="0"/>
      <w:color w:val="2936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b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