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lack Ops One" w:hAnsi="Black Ops One"/>
          <w:color w:val="29363C"/>
          <w:sz w:val="56"/>
        </w:rPr>
        <w:t>TAKT</w:t>
      </w:r>
    </w:p>
    <w:p>
      <w:pPr>
        <w:pStyle w:val="Title"/>
        <w:jc w:val="center"/>
      </w:pPr>
      <w:r>
        <w:t>TAKT — Spécification Technique</w:t>
      </w:r>
    </w:p>
    <w:p>
      <w:pPr>
        <w:jc w:val="center"/>
      </w:pPr>
      <w:r>
        <w:t>Architecture documentaire et technique à compléter à partir de la conception validée</w:t>
      </w:r>
    </w:p>
    <w:p>
      <w:pPr>
        <w:jc w:val="center"/>
      </w:pPr>
      <w:r>
        <w:t>V2.3.6 · Octobre 2026</w:t>
      </w:r>
    </w:p>
    <w:p>
      <w:r>
        <w:br w:type="page"/>
      </w:r>
    </w:p>
    <w:p>
      <w:pPr>
        <w:pStyle w:val="Heading1"/>
      </w:pPr>
      <w:r>
        <w:t>1. Architecture</w:t>
      </w:r>
    </w:p>
    <w:p>
      <w:r>
        <w:t>Architecture modulaire en couches ; l’application constitue la source de vérité fonctionnelle et FET intervient comme moteur externe de génération.</w:t>
      </w:r>
    </w:p>
    <w:p>
      <w:pPr>
        <w:pStyle w:val="Heading1"/>
      </w:pPr>
      <w:r>
        <w:t>2. Déploiement</w:t>
      </w:r>
    </w:p>
    <w:p>
      <w:r>
        <w:t>Référence actuelle : on-premise, réseau interne de l’université.</w:t>
      </w:r>
    </w:p>
    <w:p>
      <w:pPr>
        <w:pStyle w:val="Heading1"/>
      </w:pPr>
      <w:r>
        <w:t>3. Intégration FET</w:t>
      </w:r>
    </w:p>
    <w:p>
      <w:r>
        <w:t>Les règles de planification ayant un impact sur la génération doivent être traduites dans le profil FET correspondant pour garantir la cohérence.</w:t>
      </w:r>
    </w:p>
    <w:p>
      <w:pPr>
        <w:pStyle w:val="Heading1"/>
      </w:pPr>
      <w:r>
        <w:t>4. Sécurité</w:t>
      </w:r>
    </w:p>
    <w:p>
      <w:r>
        <w:t>Authentification locale en V1 ; architecture compatible LDAP/AD ultérieurement ; gestion des comptes par Administrateur ; audit des identités historiques ; politique de mot de passe configurable ; MFA/2FA configurable.</w:t>
      </w:r>
    </w:p>
    <w:p>
      <w:pPr>
        <w:pStyle w:val="Heading1"/>
      </w:pPr>
      <w:r>
        <w:t>5. Versionnement et audit</w:t>
      </w:r>
    </w:p>
    <w:p>
      <w:r>
        <w:t>Prévoir historique, versions de planning, archivage des années universitaires clôturées et traçabilité des décisions.</w:t>
      </w:r>
    </w:p>
    <w:p>
      <w:pPr>
        <w:pStyle w:val="Heading1"/>
      </w:pPr>
      <w:r>
        <w:t>6. À détailler</w:t>
      </w:r>
    </w:p>
    <w:p>
      <w:r>
        <w:t>Stack technique, schéma de déploiement, API, modèle de données, contrats d’intégration, sauvegarde/restauration, observabilité et stratégie CI/CD doivent être fixés dans la conception technique ; ils ne sont pas inventés dans ce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