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Test / Acceptance</w:t>
      </w:r>
    </w:p>
    <w:p>
      <w:pPr>
        <w:jc w:val="center"/>
      </w:pPr>
      <w:r>
        <w:t>Modèle de cahier de recette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Identification</w:t>
      </w:r>
    </w:p>
    <w:p>
      <w:r>
        <w:t>Version testée, environnement, date, responsable.</w:t>
      </w:r>
    </w:p>
    <w:p>
      <w:pPr>
        <w:pStyle w:val="Heading1"/>
      </w:pPr>
      <w:r>
        <w:t>2. Scénarios</w:t>
      </w:r>
    </w:p>
    <w:p>
      <w:r>
        <w:t>ID, précondition, étapes, résultat attendu, résultat obtenu, statut.</w:t>
      </w:r>
    </w:p>
    <w:p>
      <w:pPr>
        <w:pStyle w:val="Heading1"/>
      </w:pPr>
      <w:r>
        <w:t>3. Critères d’acceptation</w:t>
      </w:r>
    </w:p>
    <w:p>
      <w:r>
        <w:t>Chaque exigence doit être vérifiable et traçable.</w:t>
      </w:r>
    </w:p>
    <w:p>
      <w:pPr>
        <w:pStyle w:val="Heading1"/>
      </w:pPr>
      <w:r>
        <w:t>4. Anomalies</w:t>
      </w:r>
    </w:p>
    <w:p>
      <w:r>
        <w:t>ID, sévérité, reproduction, attendu, obtenu, statut.</w:t>
      </w:r>
    </w:p>
    <w:p>
      <w:pPr>
        <w:pStyle w:val="Heading1"/>
      </w:pPr>
      <w:r>
        <w:t>5. Validation</w:t>
      </w:r>
    </w:p>
    <w:p>
      <w:r>
        <w:t>Décision de recette, réserves éventuelles et signatures.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