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Customer Segmentation &amp; Behavioral Trend Dashboard</w:t>
      </w:r>
    </w:p>
    <w:p>
      <w:pPr>
        <w:jc w:val="center"/>
      </w:pPr>
      <w:r>
        <w:rPr>
          <w:b/>
          <w:sz w:val="26"/>
        </w:rPr>
        <w:t>Task 4 — Statistical Inferential Hypothesis Analysis &amp; Predictive Business Forecaster</w:t>
      </w:r>
    </w:p>
    <w:p>
      <w:pPr>
        <w:jc w:val="center"/>
      </w:pPr>
      <w:r>
        <w:rPr>
          <w:i/>
        </w:rPr>
        <w:t>Progree Data Analytics Internship</w:t>
      </w:r>
    </w:p>
    <w:p>
      <w:pPr>
        <w:pStyle w:val="Heading1"/>
      </w:pPr>
      <w:r>
        <w:t>1. Project Overview</w:t>
      </w:r>
    </w:p>
    <w:p>
      <w:r>
        <w:t>This project implements the requirements of Progree Task 4 using the Online Retail II transaction dataset. It combines formal statistical inference with a predictive monthly revenue forecasting model. The analysis is reproducible in Python and produces statistical test tables, model evaluation metrics, confidence boundaries, forecasts, plots, and a final report.</w:t>
      </w:r>
    </w:p>
    <w:p>
      <w:pPr>
        <w:pStyle w:val="Heading1"/>
      </w:pPr>
      <w:r>
        <w:t>2. Dataset</w:t>
      </w:r>
    </w:p>
    <w:p>
      <w:r>
        <w:t>The Online Retail II dataset contains 1,067,371 transaction records from a UK-based non-store online retailer covering 01/12/2009 to 09/12/2011. The source is the UCI Machine Learning Repository, DOI 10.24432/C5CG6D. The dataset is multivariate, sequential, and time-series data.</w:t>
      </w:r>
    </w:p>
    <w:p>
      <w:pPr>
        <w:pStyle w:val="Heading1"/>
      </w:pPr>
      <w:r>
        <w:t>3. Analytical Preparation</w:t>
      </w:r>
    </w:p>
    <w:p>
      <w:r>
        <w:t>After exact duplicate removal, the working dataset contained 1,055,237 rows. The positive customer-sales analytical view contained 400,916 rows, 4,312 unique customers and 19,213 unique orders, with total positive-sales revenue of £8,798,233.74.</w:t>
      </w:r>
    </w:p>
    <w:p>
      <w:pPr>
        <w:pStyle w:val="Heading1"/>
      </w:pPr>
      <w:r>
        <w:t>4. Hypothesis Testing</w:t>
      </w:r>
    </w:p>
    <w:p>
      <w:pPr>
        <w:pStyle w:val="Heading2"/>
      </w:pPr>
      <w:r>
        <w:t>4.1 A/B-Style Two-Group Validation</w:t>
      </w:r>
    </w:p>
    <w:p>
      <w:r>
        <w:t>A Welch two-sample t-test compared customer monetary value between UK and non-UK customers. The estimated mean difference (UK minus non-UK) was £-2,269.53, with t=-2.186, p=0.02944. The 95% confidence interval for the mean difference was £-4,311.03 to £-228.04. At α=0.05, the null hypothesis was rejected. This is an observational group comparison, not a randomized A/B experiment, so the result describes association/difference rather than causal treatment effect.</w:t>
      </w:r>
    </w:p>
    <w:p>
      <w:pPr>
        <w:pStyle w:val="Heading2"/>
      </w:pPr>
      <w:r>
        <w:t>4.2 One-Way ANOVA</w:t>
      </w:r>
    </w:p>
    <w:p>
      <w:r>
        <w:t>A one-way ANOVA tested whether mean monetary value differs across the RFM customer segments. The result was F=54.208, p=9.510e-65, with eta-squared=0.0702. At α=0.05, the null hypothesis of equal segment means was rejected. Tukey HSD post-hoc comparisons are included in the project outputs to identify pairwise differences.</w:t>
      </w:r>
    </w:p>
    <w:p>
      <w:pPr>
        <w:pStyle w:val="Heading2"/>
      </w:pPr>
      <w:r>
        <w:t>4.3 Chi-Square Test</w:t>
      </w:r>
    </w:p>
    <w:p>
      <w:r>
        <w:t>A Chi-Square independence test evaluated the association between grouped country and RFM segment. The result was χ²=70.712, df=30, p=3.895e-05. At α=0.05, the null hypothesis of independence was rejected. The contingency table and expected-count diagnostic are included in the outputs.</w:t>
      </w:r>
    </w:p>
    <w:p>
      <w:pPr>
        <w:pStyle w:val="Heading1"/>
      </w:pPr>
      <w:r>
        <w:t>5. Predictive Business Forecaster</w:t>
      </w:r>
    </w:p>
    <w:p>
      <w:r>
        <w:t>Monthly revenue was modeled with SARIMA(1,1,1) × (1,1,1,12). The final five observed months were held out for evaluation. The model was then refit on the full historical series and used to generate a six-month forward forecast with 95% confidence intervals.</w:t>
      </w:r>
    </w:p>
    <w:p>
      <w:pPr>
        <w:pStyle w:val="Heading2"/>
      </w:pPr>
      <w:r>
        <w:t>5.1 Model Performance</w:t>
      </w:r>
    </w:p>
    <w:p>
      <w:r>
        <w:t>Holdout performance: MAE = £401,323.01, RMSE = £474,649.06, and MAPE = 71.96%. These metrics are retained as the model's performance boundary rather than being presented as an unqualified guarantee of future accuracy. The relatively high holdout MAPE indicates that the model should be interpreted cautiously for precise month-by-month prediction.</w:t>
      </w:r>
    </w:p>
    <w:p>
      <w:pPr>
        <w:pStyle w:val="Heading2"/>
      </w:pPr>
      <w:r>
        <w:t>5.2 Confidence Performance Boundaries</w:t>
      </w:r>
    </w:p>
    <w:p>
      <w:r>
        <w:t>The project reports 95% forecast confidence intervals for both the held-out evaluation period and the six-month future forecast. These intervals quantify model-based uncertainty around the point forecasts; they are not guarantees that future observations will fall inside the interval.</w:t>
      </w:r>
    </w:p>
    <w:p>
      <w:pPr>
        <w:pStyle w:val="Heading1"/>
      </w:pPr>
      <w:r>
        <w:t>6. Deliverables</w:t>
      </w:r>
    </w:p>
    <w:p>
      <w:pPr>
        <w:pStyle w:val="ListBullet"/>
      </w:pPr>
      <w:r>
        <w:t>Progree_Task_4_Hypothesis_Forecasting.ipynb</w:t>
      </w:r>
    </w:p>
    <w:p>
      <w:pPr>
        <w:pStyle w:val="ListBullet"/>
      </w:pPr>
      <w:r>
        <w:t>outputs/ab_test_results.csv</w:t>
      </w:r>
    </w:p>
    <w:p>
      <w:pPr>
        <w:pStyle w:val="ListBullet"/>
      </w:pPr>
      <w:r>
        <w:t>outputs/anova_results.csv</w:t>
      </w:r>
    </w:p>
    <w:p>
      <w:pPr>
        <w:pStyle w:val="ListBullet"/>
      </w:pPr>
      <w:r>
        <w:t>outputs/anova_tukey_posthoc.csv</w:t>
      </w:r>
    </w:p>
    <w:p>
      <w:pPr>
        <w:pStyle w:val="ListBullet"/>
      </w:pPr>
      <w:r>
        <w:t>outputs/chi_square_results.csv</w:t>
      </w:r>
    </w:p>
    <w:p>
      <w:pPr>
        <w:pStyle w:val="ListBullet"/>
      </w:pPr>
      <w:r>
        <w:t>outputs/chi_square_contingency.csv</w:t>
      </w:r>
    </w:p>
    <w:p>
      <w:pPr>
        <w:pStyle w:val="ListBullet"/>
      </w:pPr>
      <w:r>
        <w:t>outputs/monthly_business_metrics.csv</w:t>
      </w:r>
    </w:p>
    <w:p>
      <w:pPr>
        <w:pStyle w:val="ListBullet"/>
      </w:pPr>
      <w:r>
        <w:t>outputs/forecast_test_set.csv</w:t>
      </w:r>
    </w:p>
    <w:p>
      <w:pPr>
        <w:pStyle w:val="ListBullet"/>
      </w:pPr>
      <w:r>
        <w:t>outputs/forecast_model_performance.csv</w:t>
      </w:r>
    </w:p>
    <w:p>
      <w:pPr>
        <w:pStyle w:val="ListBullet"/>
      </w:pPr>
      <w:r>
        <w:t>outputs/future_revenue_forecast.csv</w:t>
      </w:r>
    </w:p>
    <w:p>
      <w:pPr>
        <w:pStyle w:val="ListBullet"/>
      </w:pPr>
      <w:r>
        <w:t>outputs/task4_summary.csv</w:t>
      </w:r>
    </w:p>
    <w:p>
      <w:pPr>
        <w:pStyle w:val="ListBullet"/>
      </w:pPr>
      <w:r>
        <w:t>plots/01_sarima_holdout_forecast.png</w:t>
      </w:r>
    </w:p>
    <w:p>
      <w:pPr>
        <w:pStyle w:val="ListBullet"/>
      </w:pPr>
      <w:r>
        <w:t>plots/02_future_revenue_forecast.png</w:t>
      </w:r>
    </w:p>
    <w:p>
      <w:pPr>
        <w:pStyle w:val="ListBullet"/>
      </w:pPr>
      <w:r>
        <w:t>plots/03_rfm_segment_monetary.png</w:t>
      </w:r>
    </w:p>
    <w:p>
      <w:pPr>
        <w:pStyle w:val="ListBullet"/>
      </w:pPr>
      <w:r>
        <w:t>plots/04_rfm_segment_boxplot.png</w:t>
      </w:r>
    </w:p>
    <w:p>
      <w:pPr>
        <w:pStyle w:val="ListBullet"/>
      </w:pPr>
      <w:r>
        <w:t>README.md</w:t>
      </w:r>
    </w:p>
    <w:p>
      <w:pPr>
        <w:pStyle w:val="Heading1"/>
      </w:pPr>
      <w:r>
        <w:t>7. Scope</w:t>
      </w:r>
    </w:p>
    <w:p>
      <w:r>
        <w:t>This project is limited to the Task 4 requirements: inferential hypothesis testing and predictive business forecasting. It does not extend into unrelated machine learning, dashboard construction, customer segmentation redesign, or deployment.</w:t>
      </w:r>
    </w:p>
    <w:p>
      <w:pPr>
        <w:pStyle w:val="Heading1"/>
      </w:pPr>
      <w:r>
        <w:t>8. Conclusion</w:t>
      </w:r>
    </w:p>
    <w:p>
      <w:r>
        <w:t>The completed project executes three formal statistical tests and a SARIMA forecasting pipeline with explicit significance decisions, confidence intervals, and holdout performance metrics. The inferential tests identify statistically significant differences/associations in the analyzed customer data, while the forecasting section documents both prediction intervals and the observed limitations of the model on the held-out period.</w:t>
      </w:r>
    </w:p>
    <w:p>
      <w:pPr>
        <w:pStyle w:val="Heading1"/>
      </w:pPr>
      <w:r>
        <w:t>9. Source</w:t>
      </w:r>
    </w:p>
    <w:p>
      <w:r>
        <w:t>Chen, D. (2012). Online Retail II. UCI Machine Learning Repository. DOI: 10.24432/C5CG6D. https://archive.ics.uci.edu/dataset/502/online+retail+ii</w:t>
      </w:r>
    </w:p>
    <w:p>
      <w:pPr>
        <w:pStyle w:val="Heading1"/>
      </w:pPr>
      <w:r>
        <w:t>10. Author</w:t>
      </w:r>
    </w:p>
    <w:p>
      <w:r>
        <w:t>Israk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