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PROGREE DATA ANALYTICS INTERNSHIP</w:t>
        <w:br/>
        <w:t>TASK 2</w:t>
      </w:r>
    </w:p>
    <w:p>
      <w:pPr>
        <w:jc w:val="center"/>
      </w:pPr>
      <w:r>
        <w:rPr>
          <w:b/>
        </w:rPr>
        <w:t>Exploratory Data Analysis &amp; Integrity Cleaning Pipeline</w:t>
      </w:r>
    </w:p>
    <w:p>
      <w:pPr>
        <w:pStyle w:val="Heading1"/>
      </w:pPr>
      <w:r>
        <w:t>1. Objective</w:t>
      </w:r>
    </w:p>
    <w:p>
      <w:r>
        <w:t>This task loads a large raw industry dataset into Python/Pandas, diagnoses data abnormalities, performs systematic missing-value treatment, applies outlier filtering, and plots descriptive variable distributions to identify key patterns.</w:t>
      </w:r>
    </w:p>
    <w:p>
      <w:pPr>
        <w:pStyle w:val="Heading1"/>
      </w:pPr>
      <w:r>
        <w:t>2. Dataset &amp; Authentic Source</w:t>
      </w:r>
    </w:p>
    <w:p>
      <w:r>
        <w:t>The internship instructions did not provide a dataset, so the analysis uses the Online Retail II dataset from the UCI Machine Learning Repository. The uploaded workbook contains 1,067,371 transaction records across two yearly sheets.</w:t>
      </w:r>
    </w:p>
    <w:p>
      <w:r>
        <w:t>Official source: UCI Machine Learning Repository — Online Retail II. Citation: Chen, D. (2012). Online Retail II. DOI: 10.24432/C5CG6D.</w:t>
      </w:r>
    </w:p>
    <w:p>
      <w:pPr>
        <w:pStyle w:val="Heading1"/>
      </w:pPr>
      <w:r>
        <w:t>3. Raw Dataset Loading</w:t>
      </w:r>
    </w:p>
    <w:p>
      <w:r>
        <w:t>Both raw sheets were loaded with Pandas and combined into one dataset containing 1,067,371 rows and 8 columns.</w:t>
      </w:r>
    </w:p>
    <w:p>
      <w:pPr>
        <w:pStyle w:val="Heading1"/>
      </w:pPr>
      <w:r>
        <w:t>4. Data Abnormality Diagnosis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Treatment / Interpretation</w:t>
            </w:r>
          </w:p>
        </w:tc>
      </w:tr>
      <w:tr>
        <w:tc>
          <w:tcPr>
            <w:tcW w:type="dxa" w:w="2880"/>
          </w:tcPr>
          <w:p>
            <w:r>
              <w:t>Missing Description</w:t>
            </w:r>
          </w:p>
        </w:tc>
        <w:tc>
          <w:tcPr>
            <w:tcW w:type="dxa" w:w="2880"/>
          </w:tcPr>
          <w:p>
            <w:r>
              <w:t>4,382</w:t>
            </w:r>
          </w:p>
        </w:tc>
        <w:tc>
          <w:tcPr>
            <w:tcW w:type="dxa" w:w="2880"/>
          </w:tcPr>
          <w:p>
            <w:r>
              <w:t>Imputed from StockCode where possible; remaining values labelled UNKNOWN_DESCRIPTION.</w:t>
            </w:r>
          </w:p>
        </w:tc>
      </w:tr>
      <w:tr>
        <w:tc>
          <w:tcPr>
            <w:tcW w:type="dxa" w:w="2880"/>
          </w:tcPr>
          <w:p>
            <w:r>
              <w:t>Missing CustomerID</w:t>
            </w:r>
          </w:p>
        </w:tc>
        <w:tc>
          <w:tcPr>
            <w:tcW w:type="dxa" w:w="2880"/>
          </w:tcPr>
          <w:p>
            <w:r>
              <w:t>243,007</w:t>
            </w:r>
          </w:p>
        </w:tc>
        <w:tc>
          <w:tcPr>
            <w:tcW w:type="dxa" w:w="2880"/>
          </w:tcPr>
          <w:p>
            <w:r>
              <w:t>Labelled UNKNOWN_CUSTOMER; no artificial customer identity created.</w:t>
            </w:r>
          </w:p>
        </w:tc>
      </w:tr>
      <w:tr>
        <w:tc>
          <w:tcPr>
            <w:tcW w:type="dxa" w:w="2880"/>
          </w:tcPr>
          <w:p>
            <w:r>
              <w:t>Duplicate rows</w:t>
            </w:r>
          </w:p>
        </w:tc>
        <w:tc>
          <w:tcPr>
            <w:tcW w:type="dxa" w:w="2880"/>
          </w:tcPr>
          <w:p>
            <w:r>
              <w:t>34,335</w:t>
            </w:r>
          </w:p>
        </w:tc>
        <w:tc>
          <w:tcPr>
            <w:tcW w:type="dxa" w:w="2880"/>
          </w:tcPr>
          <w:p>
            <w:r>
              <w:t>Identified during integrity audit.</w:t>
            </w:r>
          </w:p>
        </w:tc>
      </w:tr>
      <w:tr>
        <w:tc>
          <w:tcPr>
            <w:tcW w:type="dxa" w:w="2880"/>
          </w:tcPr>
          <w:p>
            <w:r>
              <w:t>Cancellation invoices</w:t>
            </w:r>
          </w:p>
        </w:tc>
        <w:tc>
          <w:tcPr>
            <w:tcW w:type="dxa" w:w="2880"/>
          </w:tcPr>
          <w:p>
            <w:r>
              <w:t>19,494</w:t>
            </w:r>
          </w:p>
        </w:tc>
        <w:tc>
          <w:tcPr>
            <w:tcW w:type="dxa" w:w="2880"/>
          </w:tcPr>
          <w:p>
            <w:r>
              <w:t>Invoice numbers beginning with C; excluded from positive-sales view.</w:t>
            </w:r>
          </w:p>
        </w:tc>
      </w:tr>
      <w:tr>
        <w:tc>
          <w:tcPr>
            <w:tcW w:type="dxa" w:w="2880"/>
          </w:tcPr>
          <w:p>
            <w:r>
              <w:t>Negative Quantity</w:t>
            </w:r>
          </w:p>
        </w:tc>
        <w:tc>
          <w:tcPr>
            <w:tcW w:type="dxa" w:w="2880"/>
          </w:tcPr>
          <w:p>
            <w:r>
              <w:t>22,950</w:t>
            </w:r>
          </w:p>
        </w:tc>
        <w:tc>
          <w:tcPr>
            <w:tcW w:type="dxa" w:w="2880"/>
          </w:tcPr>
          <w:p>
            <w:r>
              <w:t>Diagnosed and excluded from positive-sales descriptive view.</w:t>
            </w:r>
          </w:p>
        </w:tc>
      </w:tr>
      <w:tr>
        <w:tc>
          <w:tcPr>
            <w:tcW w:type="dxa" w:w="2880"/>
          </w:tcPr>
          <w:p>
            <w:r>
              <w:t>UnitPrice &lt;= 0</w:t>
            </w:r>
          </w:p>
        </w:tc>
        <w:tc>
          <w:tcPr>
            <w:tcW w:type="dxa" w:w="2880"/>
          </w:tcPr>
          <w:p>
            <w:r>
              <w:t>6,207</w:t>
            </w:r>
          </w:p>
        </w:tc>
        <w:tc>
          <w:tcPr>
            <w:tcW w:type="dxa" w:w="2880"/>
          </w:tcPr>
          <w:p>
            <w:r>
              <w:t>Excluded from positive-sales descriptive view.</w:t>
            </w:r>
          </w:p>
        </w:tc>
      </w:tr>
    </w:tbl>
    <w:p>
      <w:pPr>
        <w:pStyle w:val="Heading1"/>
      </w:pPr>
      <w:r>
        <w:t>5. Systematic Missing-Value Treatment</w:t>
      </w:r>
    </w:p>
    <w:p>
      <w:r>
        <w:t>There were 4,382 missing Description values. 4,019 were filled using the most frequent valid Description for the same StockCode. Remaining unresolved descriptions were labelled UNKNOWN_DESCRIPTION. Missing CustomerID values were labelled UNKNOWN_CUSTOMER rather than assigning fabricated IDs.</w:t>
      </w:r>
    </w:p>
    <w:p>
      <w:pPr>
        <w:pStyle w:val="Heading1"/>
      </w:pPr>
      <w:r>
        <w:t>6. Outlier Filtering Treatment</w:t>
      </w:r>
    </w:p>
    <w:p>
      <w:r>
        <w:t>The business-cleaned positive-sales view contains 1,041,670 rows. IQR filtering was applied to Quantity, UnitPrice and Revenue using Q1 − 1.5×IQR and Q3 + 1.5×IQR.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Q1</w:t>
            </w:r>
          </w:p>
        </w:tc>
        <w:tc>
          <w:tcPr>
            <w:tcW w:type="dxa" w:w="1728"/>
          </w:tcPr>
          <w:p>
            <w:r>
              <w:t>Q3</w:t>
            </w:r>
          </w:p>
        </w:tc>
        <w:tc>
          <w:tcPr>
            <w:tcW w:type="dxa" w:w="1728"/>
          </w:tcPr>
          <w:p>
            <w:r>
              <w:t>Upper Bound</w:t>
            </w:r>
          </w:p>
        </w:tc>
        <w:tc>
          <w:tcPr>
            <w:tcW w:type="dxa" w:w="1728"/>
          </w:tcPr>
          <w:p>
            <w:r>
              <w:t>Outliers</w:t>
            </w:r>
          </w:p>
        </w:tc>
      </w:tr>
      <w:tr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10.00</w:t>
            </w:r>
          </w:p>
        </w:tc>
        <w:tc>
          <w:tcPr>
            <w:tcW w:type="dxa" w:w="1728"/>
          </w:tcPr>
          <w:p>
            <w:r>
              <w:t>23.50</w:t>
            </w:r>
          </w:p>
        </w:tc>
        <w:tc>
          <w:tcPr>
            <w:tcW w:type="dxa" w:w="1728"/>
          </w:tcPr>
          <w:p>
            <w:r>
              <w:t>111,341 (10.69%)</w:t>
            </w:r>
          </w:p>
        </w:tc>
      </w:tr>
      <w:tr>
        <w:tc>
          <w:tcPr>
            <w:tcW w:type="dxa" w:w="1728"/>
          </w:tcPr>
          <w:p>
            <w:r>
              <w:t>UnitPrice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  <w:tc>
          <w:tcPr>
            <w:tcW w:type="dxa" w:w="1728"/>
          </w:tcPr>
          <w:p>
            <w:r>
              <w:t>4.13</w:t>
            </w:r>
          </w:p>
        </w:tc>
        <w:tc>
          <w:tcPr>
            <w:tcW w:type="dxa" w:w="1728"/>
          </w:tcPr>
          <w:p>
            <w:r>
              <w:t>8.45</w:t>
            </w:r>
          </w:p>
        </w:tc>
        <w:tc>
          <w:tcPr>
            <w:tcW w:type="dxa" w:w="1728"/>
          </w:tcPr>
          <w:p>
            <w:r>
              <w:t>81,633 (7.84%)</w:t>
            </w:r>
          </w:p>
        </w:tc>
      </w:tr>
      <w:tr>
        <w:tc>
          <w:tcPr>
            <w:tcW w:type="dxa" w:w="1728"/>
          </w:tcPr>
          <w:p>
            <w:r>
              <w:t>Revenue</w:t>
            </w:r>
          </w:p>
        </w:tc>
        <w:tc>
          <w:tcPr>
            <w:tcW w:type="dxa" w:w="1728"/>
          </w:tcPr>
          <w:p>
            <w:r>
              <w:t>3.90</w:t>
            </w:r>
          </w:p>
        </w:tc>
        <w:tc>
          <w:tcPr>
            <w:tcW w:type="dxa" w:w="1728"/>
          </w:tcPr>
          <w:p>
            <w:r>
              <w:t>17.70</w:t>
            </w:r>
          </w:p>
        </w:tc>
        <w:tc>
          <w:tcPr>
            <w:tcW w:type="dxa" w:w="1728"/>
          </w:tcPr>
          <w:p>
            <w:r>
              <w:t>38.40</w:t>
            </w:r>
          </w:p>
        </w:tc>
        <w:tc>
          <w:tcPr>
            <w:tcW w:type="dxa" w:w="1728"/>
          </w:tcPr>
          <w:p>
            <w:r>
              <w:t>85,726 (8.23%)</w:t>
            </w:r>
          </w:p>
        </w:tc>
      </w:tr>
    </w:tbl>
    <w:p>
      <w:r>
        <w:t>The combined IQR-filtered view contains 826,813 rows; 214,857 rows (20.63%) were removed from this descriptive outlier view. Extreme retail observations are not automatically assumed to be errors.</w:t>
      </w:r>
    </w:p>
    <w:p>
      <w:pPr>
        <w:pStyle w:val="Heading1"/>
      </w:pPr>
      <w:r>
        <w:t>7. Descriptive Distributions &amp; Key Patterns</w:t>
      </w:r>
    </w:p>
    <w:p>
      <w:r>
        <w:drawing>
          <wp:inline xmlns:a="http://schemas.openxmlformats.org/drawingml/2006/main" xmlns:pic="http://schemas.openxmlformats.org/drawingml/2006/picture">
            <wp:extent cx="5577840" cy="309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quantity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9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Quantity is strongly right-skewed, with a long upper tail caused by a relatively small number of very large quantities.</w:t>
      </w:r>
    </w:p>
    <w:p>
      <w:r>
        <w:drawing>
          <wp:inline xmlns:a="http://schemas.openxmlformats.org/drawingml/2006/main" xmlns:pic="http://schemas.openxmlformats.org/drawingml/2006/picture">
            <wp:extent cx="5577840" cy="309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nit_price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9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Unit Price is strongly right-skewed, with most observations concentrated at lower prices and a small number of high-price transactions.</w:t>
      </w:r>
    </w:p>
    <w:p>
      <w:r>
        <w:drawing>
          <wp:inline xmlns:a="http://schemas.openxmlformats.org/drawingml/2006/main" xmlns:pic="http://schemas.openxmlformats.org/drawingml/2006/picture">
            <wp:extent cx="5577840" cy="309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venue_distribution_after_iq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9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IQR filtering, the Revenue distribution is less dominated by extreme transaction values.</w:t>
      </w:r>
    </w:p>
    <w:p>
      <w:r>
        <w:drawing>
          <wp:inline xmlns:a="http://schemas.openxmlformats.org/drawingml/2006/main" xmlns:pic="http://schemas.openxmlformats.org/drawingml/2006/picture">
            <wp:extent cx="5852160" cy="26600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nthly_revenue_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60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highest monthly revenue in the business-cleaned sales view occurred in November 2011, at approximately £1,509,496.33.</w:t>
      </w:r>
    </w:p>
    <w:p>
      <w:r>
        <w:drawing>
          <wp:inline xmlns:a="http://schemas.openxmlformats.org/drawingml/2006/main" xmlns:pic="http://schemas.openxmlformats.org/drawingml/2006/picture">
            <wp:extent cx="5577840" cy="3098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op_countries_reven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9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United Kingdom is the dominant country by recorded revenue, with approximately £17,870,977.78 in the business-cleaned sales view.</w:t>
      </w:r>
    </w:p>
    <w:p>
      <w:pPr>
        <w:pStyle w:val="Heading1"/>
      </w:pPr>
      <w:r>
        <w:t>8. Conclusion</w:t>
      </w:r>
    </w:p>
    <w:p>
      <w:r>
        <w:t>The completed pipeline follows the Task 2 requirements: large raw dataset loading, data-abnormality diagnosis, systematic missing-value treatment, documented IQR outlier filtering, descriptive distribution plots, and key pattern extraction.</w:t>
      </w:r>
    </w:p>
    <w:p>
      <w:pPr>
        <w:pStyle w:val="Heading1"/>
      </w:pPr>
      <w:r>
        <w:t>9. Deliverables</w:t>
      </w:r>
    </w:p>
    <w:p>
      <w:pPr>
        <w:pStyle w:val="ListBullet"/>
      </w:pPr>
      <w:r>
        <w:t>Progree_Task_2_Final.ipynb — reproducible Python/Pandas pipeline</w:t>
      </w:r>
    </w:p>
    <w:p>
      <w:pPr>
        <w:pStyle w:val="ListBullet"/>
      </w:pPr>
      <w:r>
        <w:t>data_quality_audit.csv — integrity audit</w:t>
      </w:r>
    </w:p>
    <w:p>
      <w:pPr>
        <w:pStyle w:val="ListBullet"/>
      </w:pPr>
      <w:r>
        <w:t>outlier_treatment_summary.csv — IQR treatment</w:t>
      </w:r>
    </w:p>
    <w:p>
      <w:pPr>
        <w:pStyle w:val="ListBullet"/>
      </w:pPr>
      <w:r>
        <w:t>descriptive_statistics.csv — descriptive statistics and skewness</w:t>
      </w:r>
    </w:p>
    <w:p>
      <w:pPr>
        <w:pStyle w:val="ListBullet"/>
      </w:pPr>
      <w:r>
        <w:t>monthly_revenue.csv — monthly trend</w:t>
      </w:r>
    </w:p>
    <w:p>
      <w:pPr>
        <w:pStyle w:val="ListBullet"/>
      </w:pPr>
      <w:r>
        <w:t>top_countries_by_revenue.csv — country pattern</w:t>
      </w:r>
    </w:p>
    <w:p>
      <w:pPr>
        <w:pStyle w:val="ListBullet"/>
      </w:pPr>
      <w:r>
        <w:t>top_products_by_revenue.csv — product pattern</w:t>
      </w:r>
    </w:p>
    <w:p>
      <w:pPr>
        <w:pStyle w:val="ListBullet"/>
      </w:pPr>
      <w:r>
        <w:t>01–05 PNG charts — descriptive visualizations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