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002451"/>
          <w:sz w:val="52"/>
          <w:szCs w:val="52"/>
        </w:rPr>
        <w:t xml:space="preserve">PZE Skalierungsstrategie</w:t>
      </w:r>
    </w:p>
    <w:p>
      <w:pPr>
        <w:spacing w:before="0" w:after="60"/>
      </w:pPr>
      <w:r>
        <w:rPr>
          <w:rFonts w:ascii="Arial" w:cs="Arial" w:eastAsia="Arial" w:hAnsi="Arial"/>
          <w:color w:val="555555"/>
          <w:sz w:val="32"/>
          <w:szCs w:val="32"/>
        </w:rPr>
        <w:t xml:space="preserve">Hosting, Betrieb und Wachstum</w:t>
      </w:r>
    </w:p>
    <w:p>
      <w:pPr>
        <w:pBdr>
          <w:bottom w:val="single" w:color="002451" w:sz="8" w:space="8"/>
        </w:pBdr>
        <w:spacing w:before="0" w:after="320"/>
      </w:pPr>
      <w:r>
        <w:rPr>
          <w:rFonts w:ascii="Arial" w:cs="Arial" w:eastAsia="Arial" w:hAnsi="Arial"/>
          <w:i/>
          <w:iCs/>
          <w:color w:val="555555"/>
          <w:sz w:val="22"/>
          <w:szCs w:val="22"/>
        </w:rPr>
        <w:t xml:space="preserve">Von 15 Kunden bis in den vierstelligen Bereich: Infrastruktur, Kosten und realer Aufwand</w:t>
      </w:r>
    </w:p>
    <w:p>
      <w:pPr>
        <w:spacing w:before="0" w:after="120"/>
      </w:pPr>
      <w:r>
        <w:t xml:space="preserve"/>
      </w:r>
    </w:p>
    <w:p>
      <w:pPr>
        <w:pStyle w:val="Heading1"/>
        <w:pBdr>
          <w:bottom w:val="single" w:color="002451" w:sz="6" w:space="6"/>
        </w:pBdr>
        <w:spacing w:before="400" w:after="160"/>
      </w:pPr>
      <w:r>
        <w:rPr>
          <w:rFonts w:ascii="Arial" w:cs="Arial" w:eastAsia="Arial" w:hAnsi="Arial"/>
          <w:b/>
          <w:bCs/>
          <w:color w:val="002451"/>
          <w:sz w:val="30"/>
          <w:szCs w:val="30"/>
        </w:rPr>
        <w:t xml:space="preserve">1.  Ausgangspunkt: Was heute funktioniert</w:t>
      </w:r>
    </w:p>
    <w:p>
      <w:pPr>
        <w:spacing w:before="60" w:after="80"/>
      </w:pPr>
      <w:r>
        <w:rPr>
          <w:rFonts w:ascii="Arial" w:cs="Arial" w:eastAsia="Arial" w:hAnsi="Arial"/>
          <w:color w:val="555555"/>
          <w:sz w:val="21"/>
          <w:szCs w:val="21"/>
        </w:rPr>
        <w:t xml:space="preserve">PZE ist in der aktuellen Version ein produktionsreifes System. Es laeuft auf Vercel (Next.js-Hosting) und Supabase (Datenbank, Authentifizierung), beide in der Cloud. Fuer einen Markteintritt mit 10-15 Kunden ist das eine vernuenftige und kostenguenstige Basis.</w:t>
      </w:r>
    </w:p>
    <w:p>
      <w:pPr>
        <w:spacing w:before="0" w:after="120"/>
      </w:pPr>
      <w:r>
        <w:t xml:space="preserve"/>
      </w:r>
    </w:p>
    <w:p>
      <w:pPr>
        <w:spacing w:before="60" w:after="80"/>
      </w:pPr>
      <w:r>
        <w:rPr>
          <w:rFonts w:ascii="Arial" w:cs="Arial" w:eastAsia="Arial" w:hAnsi="Arial"/>
          <w:color w:val="555555"/>
          <w:sz w:val="21"/>
          <w:szCs w:val="21"/>
        </w:rPr>
        <w:t xml:space="preserve">Was diese Plattformkombination leistet, ohne dass man es aktiv tut:</w:t>
      </w:r>
    </w:p>
    <w:p>
      <w:pPr>
        <w:pStyle w:val="ListParagraph"/>
        <w:numPr>
          <w:ilvl w:val="0"/>
          <w:numId w:val="2"/>
        </w:numPr>
        <w:spacing w:before="40" w:after="40"/>
      </w:pPr>
      <w:r>
        <w:rPr>
          <w:rFonts w:ascii="Arial" w:cs="Arial" w:eastAsia="Arial" w:hAnsi="Arial"/>
          <w:color w:val="555555"/>
          <w:sz w:val="20"/>
          <w:szCs w:val="20"/>
        </w:rPr>
        <w:t xml:space="preserve">Automatische Sicherheitsupdates aller Systemkomponenten</w:t>
      </w:r>
    </w:p>
    <w:p>
      <w:pPr>
        <w:pStyle w:val="ListParagraph"/>
        <w:numPr>
          <w:ilvl w:val="0"/>
          <w:numId w:val="2"/>
        </w:numPr>
        <w:spacing w:before="40" w:after="40"/>
      </w:pPr>
      <w:r>
        <w:rPr>
          <w:rFonts w:ascii="Arial" w:cs="Arial" w:eastAsia="Arial" w:hAnsi="Arial"/>
          <w:color w:val="555555"/>
          <w:sz w:val="20"/>
          <w:szCs w:val="20"/>
        </w:rPr>
        <w:t xml:space="preserve">Taeglich automatische Datenbank-Backups (Supabase Pro)</w:t>
      </w:r>
    </w:p>
    <w:p>
      <w:pPr>
        <w:pStyle w:val="ListParagraph"/>
        <w:numPr>
          <w:ilvl w:val="0"/>
          <w:numId w:val="2"/>
        </w:numPr>
        <w:spacing w:before="40" w:after="40"/>
      </w:pPr>
      <w:r>
        <w:rPr>
          <w:rFonts w:ascii="Arial" w:cs="Arial" w:eastAsia="Arial" w:hAnsi="Arial"/>
          <w:color w:val="555555"/>
          <w:sz w:val="20"/>
          <w:szCs w:val="20"/>
        </w:rPr>
        <w:t xml:space="preserve">Skalierung bei Lastspitzen ohne manuelle Eingriffe</w:t>
      </w:r>
    </w:p>
    <w:p>
      <w:pPr>
        <w:pStyle w:val="ListParagraph"/>
        <w:numPr>
          <w:ilvl w:val="0"/>
          <w:numId w:val="2"/>
        </w:numPr>
        <w:spacing w:before="40" w:after="40"/>
      </w:pPr>
      <w:r>
        <w:rPr>
          <w:rFonts w:ascii="Arial" w:cs="Arial" w:eastAsia="Arial" w:hAnsi="Arial"/>
          <w:color w:val="555555"/>
          <w:sz w:val="20"/>
          <w:szCs w:val="20"/>
        </w:rPr>
        <w:t xml:space="preserve">DDoS-Grundschutz und Web Application Firewall</w:t>
      </w:r>
    </w:p>
    <w:p>
      <w:pPr>
        <w:pStyle w:val="ListParagraph"/>
        <w:numPr>
          <w:ilvl w:val="0"/>
          <w:numId w:val="2"/>
        </w:numPr>
        <w:spacing w:before="40" w:after="40"/>
      </w:pPr>
      <w:r>
        <w:rPr>
          <w:rFonts w:ascii="Arial" w:cs="Arial" w:eastAsia="Arial" w:hAnsi="Arial"/>
          <w:color w:val="555555"/>
          <w:sz w:val="20"/>
          <w:szCs w:val="20"/>
        </w:rPr>
        <w:t xml:space="preserve">DSGVO-konformer Betrieb mit EU-Serverstandort und AVV moeglich</w:t>
      </w:r>
    </w:p>
    <w:p>
      <w:pPr>
        <w:spacing w:before="0" w:after="120"/>
      </w:pPr>
      <w:r>
        <w:t xml:space="preserve"/>
      </w:r>
    </w:p>
    <w:p>
      <w:pPr>
        <w:pBdr>
          <w:left w:val="single" w:color="002451" w:sz="16"/>
        </w:pBdr>
        <w:shd w:fill="EEF3F9" w:val="clear"/>
        <w:spacing w:before="160" w:after="160"/>
        <w:ind w:left="200" w:right="200"/>
      </w:pPr>
      <w:r>
        <w:rPr>
          <w:rFonts w:ascii="Arial" w:cs="Arial" w:eastAsia="Arial" w:hAnsi="Arial"/>
          <w:i/>
          <w:iCs/>
          <w:color w:val="333333"/>
          <w:sz w:val="20"/>
          <w:szCs w:val="20"/>
        </w:rPr>
        <w:t xml:space="preserve">Die entscheidende Frage ist nicht ob dieses Setup gut ist - es ist gut. Die Frage ist, ab wann und unter welchen Bedingungen ein Wechsel sinnvoll wird.</w:t>
      </w:r>
    </w:p>
    <w:p>
      <w:pPr>
        <w:spacing w:before="0" w:after="120"/>
      </w:pPr>
      <w:r>
        <w:t xml:space="preserve"/>
      </w:r>
    </w:p>
    <w:p>
      <w:pPr>
        <w:pStyle w:val="Heading1"/>
        <w:pBdr>
          <w:bottom w:val="single" w:color="002451" w:sz="6" w:space="6"/>
        </w:pBdr>
        <w:spacing w:before="400" w:after="160"/>
      </w:pPr>
      <w:r>
        <w:rPr>
          <w:rFonts w:ascii="Arial" w:cs="Arial" w:eastAsia="Arial" w:hAnsi="Arial"/>
          <w:b/>
          <w:bCs/>
          <w:color w:val="002451"/>
          <w:sz w:val="30"/>
          <w:szCs w:val="30"/>
        </w:rPr>
        <w:t xml:space="preserve">2.  Warum Skalierung kein lineares Problem ist</w:t>
      </w:r>
    </w:p>
    <w:p>
      <w:pPr>
        <w:spacing w:before="60" w:after="80"/>
      </w:pPr>
      <w:r>
        <w:rPr>
          <w:rFonts w:ascii="Arial" w:cs="Arial" w:eastAsia="Arial" w:hAnsi="Arial"/>
          <w:color w:val="555555"/>
          <w:sz w:val="21"/>
          <w:szCs w:val="21"/>
        </w:rPr>
        <w:t xml:space="preserve">Es waere schoen, wenn man einfach sagen koennte: mehr Kunden = mehr Server. Technisch stimmt das. Aber die eigentliche Herausforderung beim Wachstum ist eine andere:</w:t>
      </w:r>
    </w:p>
    <w:p>
      <w:pPr>
        <w:spacing w:before="0" w:after="120"/>
      </w:pPr>
      <w:r>
        <w:t xml:space="preserve"/>
      </w:r>
    </w:p>
    <w:p>
      <w:pPr>
        <w:pStyle w:val="Heading2"/>
        <w:spacing w:before="280" w:after="100"/>
      </w:pPr>
      <w:r>
        <w:rPr>
          <w:rFonts w:ascii="Arial" w:cs="Arial" w:eastAsia="Arial" w:hAnsi="Arial"/>
          <w:b/>
          <w:bCs/>
          <w:color w:val="1A4080"/>
          <w:sz w:val="24"/>
          <w:szCs w:val="24"/>
        </w:rPr>
        <w:t xml:space="preserve">2.1  Das Problem ist nicht die Hardware - es ist die Verantwortung</w:t>
      </w:r>
    </w:p>
    <w:p>
      <w:pPr>
        <w:spacing w:before="60" w:after="80"/>
      </w:pPr>
      <w:r>
        <w:rPr>
          <w:rFonts w:ascii="Arial" w:cs="Arial" w:eastAsia="Arial" w:hAnsi="Arial"/>
          <w:color w:val="555555"/>
          <w:sz w:val="21"/>
          <w:szCs w:val="21"/>
        </w:rPr>
        <w:t xml:space="preserve">Auf einer Managed-Plattform wie Vercel oder Supabase uebernehmen Spezialisten-Teams rund um die Uhr Aufgaben, die bei Eigenhosting in der eigenen Verantwortung liegen:</w:t>
      </w:r>
    </w:p>
    <w:p>
      <w:pPr>
        <w:spacing w:before="0"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Managed-Plattform (Vercel/Supabase)</w:t>
            </w:r>
          </w:p>
        </w:tc>
        <w:tc>
          <w:tcPr>
            <w:tcW w:type="dxa" w:w="4819"/>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Eigenhosting (Hetzner)</w:t>
            </w:r>
          </w:p>
        </w:tc>
      </w:tr>
      <w:tr>
        <w:tc>
          <w:tcPr>
            <w:tcW w:type="dxa" w:w="4819"/>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Sicherheitsupdates: automatisch, unsichtbar, sofort</w:t>
            </w:r>
          </w:p>
        </w:tc>
        <w:tc>
          <w:tcPr>
            <w:tcW w:type="dxa" w:w="4819"/>
            <w:gridSpan w:val="1"/>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Sicherheitsupdates: manuelle Aufgabe, eigene Verantwortung</w:t>
            </w:r>
          </w:p>
        </w:tc>
      </w:tr>
      <w:tr>
        <w:tc>
          <w:tcPr>
            <w:tcW w:type="dxa" w:w="4819"/>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Backup: automatisch taeglich, Restore in Minuten</w:t>
            </w:r>
          </w:p>
        </w:tc>
        <w:tc>
          <w:tcPr>
            <w:tcW w:type="dxa" w:w="4819"/>
            <w:gridSpan w:val="1"/>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Backup: muss eingerichtet, getestet und dokumentiert werden</w:t>
            </w:r>
          </w:p>
        </w:tc>
      </w:tr>
      <w:tr>
        <w:tc>
          <w:tcPr>
            <w:tcW w:type="dxa" w:w="4819"/>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Ausfall um 3 Uhr: Plattform-Team reagiert</w:t>
            </w:r>
          </w:p>
        </w:tc>
        <w:tc>
          <w:tcPr>
            <w:tcW w:type="dxa" w:w="4819"/>
            <w:gridSpan w:val="1"/>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Ausfall um 3 Uhr: eigene Bereitschaft oder Dienstleister</w:t>
            </w:r>
          </w:p>
        </w:tc>
      </w:tr>
      <w:tr>
        <w:tc>
          <w:tcPr>
            <w:tcW w:type="dxa" w:w="4819"/>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Skalierung bei Last: automatisch</w:t>
            </w:r>
          </w:p>
        </w:tc>
        <w:tc>
          <w:tcPr>
            <w:tcW w:type="dxa" w:w="4819"/>
            <w:gridSpan w:val="1"/>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Skalierung: manuell, vorausschauend planen</w:t>
            </w:r>
          </w:p>
        </w:tc>
      </w:tr>
      <w:tr>
        <w:tc>
          <w:tcPr>
            <w:tcW w:type="dxa" w:w="4819"/>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Firewall, DDoS: integriert</w:t>
            </w:r>
          </w:p>
        </w:tc>
        <w:tc>
          <w:tcPr>
            <w:tcW w:type="dxa" w:w="4819"/>
            <w:gridSpan w:val="1"/>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Firewall, DDoS: muss konfiguriert und gepflegt werden</w:t>
            </w:r>
          </w:p>
        </w:tc>
      </w:tr>
      <w:tr>
        <w:tc>
          <w:tcPr>
            <w:tcW w:type="dxa" w:w="4819"/>
            <w:gridSpan w:val="1"/>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Preis: hoehere laufende Kosten</w:t>
            </w:r>
          </w:p>
        </w:tc>
        <w:tc>
          <w:tcPr>
            <w:tcW w:type="dxa" w:w="4819"/>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Preis: deutlich guenstiger bei gleicher Hardware</w:t>
            </w:r>
          </w:p>
        </w:tc>
      </w:tr>
      <w:tr>
        <w:tc>
          <w:tcPr>
            <w:tcW w:type="dxa" w:w="4819"/>
            <w:gridSpan w:val="1"/>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DSGVO: US-Konzerne, AVV noetig, Schrems-II-Risiko</w:t>
            </w:r>
          </w:p>
        </w:tc>
        <w:tc>
          <w:tcPr>
            <w:tcW w:type="dxa" w:w="4819"/>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DSGVO: deutsches Unternehmen, staerkstes Profil</w:t>
            </w:r>
          </w:p>
        </w:tc>
      </w:tr>
    </w:tbl>
    <w:p>
      <w:pPr>
        <w:spacing w:before="0" w:after="120"/>
      </w:pPr>
      <w:r>
        <w:t xml:space="preserve"/>
      </w:r>
    </w:p>
    <w:p>
      <w:pPr>
        <w:pStyle w:val="Heading2"/>
        <w:spacing w:before="280" w:after="100"/>
      </w:pPr>
      <w:r>
        <w:rPr>
          <w:rFonts w:ascii="Arial" w:cs="Arial" w:eastAsia="Arial" w:hAnsi="Arial"/>
          <w:b/>
          <w:bCs/>
          <w:color w:val="1A4080"/>
          <w:sz w:val="24"/>
          <w:szCs w:val="24"/>
        </w:rPr>
        <w:t xml:space="preserve">2.2  Was wirklich hinter Betriebsaufwand steckt</w:t>
      </w:r>
    </w:p>
    <w:p>
      <w:pPr>
        <w:spacing w:before="60" w:after="80"/>
      </w:pPr>
      <w:r>
        <w:rPr>
          <w:rFonts w:ascii="Arial" w:cs="Arial" w:eastAsia="Arial" w:hAnsi="Arial"/>
          <w:color w:val="555555"/>
          <w:sz w:val="21"/>
          <w:szCs w:val="21"/>
        </w:rPr>
        <w:t xml:space="preserve">Oft hoert man '20 Stunden pro Monat' und fragt sich: Wofuer denn? Was konkret zu tun ist, sind keine Krisen - es ist kontinuierliche Pflege. Vergleichbar mit dem Oechwechsel beim Auto: nicht weil es brennt, sondern damit es nicht brennt.</w:t>
      </w:r>
    </w:p>
    <w:p>
      <w:pPr>
        <w:spacing w:before="0" w:after="120"/>
      </w:pPr>
      <w:r>
        <w:t xml:space="preserve"/>
      </w:r>
    </w:p>
    <w:p>
      <w:pPr>
        <w:spacing w:before="60" w:after="80"/>
      </w:pPr>
      <w:r>
        <w:rPr>
          <w:rFonts w:ascii="Arial" w:cs="Arial" w:eastAsia="Arial" w:hAnsi="Arial"/>
          <w:color w:val="555555"/>
          <w:sz w:val="21"/>
          <w:szCs w:val="21"/>
        </w:rPr>
        <w:t xml:space="preserve">Konkrete wiederkehrende Aufgaben bei Eigenhosting:</w:t>
      </w:r>
    </w:p>
    <w:p>
      <w:pPr>
        <w:pStyle w:val="ListParagraph"/>
        <w:numPr>
          <w:ilvl w:val="0"/>
          <w:numId w:val="2"/>
        </w:numPr>
        <w:spacing w:before="40" w:after="40"/>
      </w:pPr>
      <w:r>
        <w:rPr>
          <w:rFonts w:ascii="Arial" w:cs="Arial" w:eastAsia="Arial" w:hAnsi="Arial"/>
          <w:color w:val="555555"/>
          <w:sz w:val="20"/>
          <w:szCs w:val="20"/>
        </w:rPr>
        <w:t xml:space="preserve">Betriebssystem-Updates (Ubuntu, Nginx): ca. einmal pro Woche erscheinen Sicherheitspatches - wer zu spaet updated, hat eine bekannte offene Luecke</w:t>
      </w:r>
    </w:p>
    <w:p>
      <w:pPr>
        <w:pStyle w:val="ListParagraph"/>
        <w:numPr>
          <w:ilvl w:val="0"/>
          <w:numId w:val="2"/>
        </w:numPr>
        <w:spacing w:before="40" w:after="40"/>
      </w:pPr>
      <w:r>
        <w:rPr>
          <w:rFonts w:ascii="Arial" w:cs="Arial" w:eastAsia="Arial" w:hAnsi="Arial"/>
          <w:color w:val="555555"/>
          <w:sz w:val="20"/>
          <w:szCs w:val="20"/>
        </w:rPr>
        <w:t xml:space="preserve">PostgreSQL-Updates: Datenbank-Engine hat eigene Release-Zyklen, inklusive sicherheitsrelevanter Patches</w:t>
      </w:r>
    </w:p>
    <w:p>
      <w:pPr>
        <w:pStyle w:val="ListParagraph"/>
        <w:numPr>
          <w:ilvl w:val="0"/>
          <w:numId w:val="2"/>
        </w:numPr>
        <w:spacing w:before="40" w:after="40"/>
      </w:pPr>
      <w:r>
        <w:rPr>
          <w:rFonts w:ascii="Arial" w:cs="Arial" w:eastAsia="Arial" w:hAnsi="Arial"/>
          <w:color w:val="555555"/>
          <w:sz w:val="20"/>
          <w:szCs w:val="20"/>
        </w:rPr>
        <w:t xml:space="preserve">Node.js &amp; npm-Bibliotheken: PZE hat hunderte Abhaengigkeiten - jede kann Sicherheitsluecken entwickeln</w:t>
      </w:r>
    </w:p>
    <w:p>
      <w:pPr>
        <w:pStyle w:val="ListParagraph"/>
        <w:numPr>
          <w:ilvl w:val="0"/>
          <w:numId w:val="2"/>
        </w:numPr>
        <w:spacing w:before="40" w:after="40"/>
      </w:pPr>
      <w:r>
        <w:rPr>
          <w:rFonts w:ascii="Arial" w:cs="Arial" w:eastAsia="Arial" w:hAnsi="Arial"/>
          <w:color w:val="555555"/>
          <w:sz w:val="20"/>
          <w:szCs w:val="20"/>
        </w:rPr>
        <w:t xml:space="preserve">Monatlicher Restore-Test: Ein Backup, das nie verifiziert wurde, ist kein Backup - und bei einer DSGVO-Datenpanne muss dokumentiert werden, dass Backups funktionstauechtig waren</w:t>
      </w:r>
    </w:p>
    <w:p>
      <w:pPr>
        <w:pStyle w:val="ListParagraph"/>
        <w:numPr>
          <w:ilvl w:val="0"/>
          <w:numId w:val="2"/>
        </w:numPr>
        <w:spacing w:before="40" w:after="40"/>
      </w:pPr>
      <w:r>
        <w:rPr>
          <w:rFonts w:ascii="Arial" w:cs="Arial" w:eastAsia="Arial" w:hAnsi="Arial"/>
          <w:color w:val="555555"/>
          <w:sz w:val="20"/>
          <w:szCs w:val="20"/>
        </w:rPr>
        <w:t xml:space="preserve">Monitoring-Auswertung: Wann naehert sich die Datenbank Kapazitaetsgrenzen? Steigen Response-Zeiten? Gibt es ungewoehnliche Zugriffsversuche?</w:t>
      </w:r>
    </w:p>
    <w:p>
      <w:pPr>
        <w:pStyle w:val="ListParagraph"/>
        <w:numPr>
          <w:ilvl w:val="0"/>
          <w:numId w:val="2"/>
        </w:numPr>
        <w:spacing w:before="40" w:after="40"/>
      </w:pPr>
      <w:r>
        <w:rPr>
          <w:rFonts w:ascii="Arial" w:cs="Arial" w:eastAsia="Arial" w:hAnsi="Arial"/>
          <w:color w:val="555555"/>
          <w:sz w:val="20"/>
          <w:szCs w:val="20"/>
        </w:rPr>
        <w:t xml:space="preserve">Zertifikatsverwaltung: SSL-Zertifikate laufen ab (Let's Encrypt: alle 90 Tage) - Automatisierung empfohlen aber muss eingerichtet sein</w:t>
      </w:r>
    </w:p>
    <w:p>
      <w:pPr>
        <w:spacing w:before="0" w:after="120"/>
      </w:pPr>
      <w:r>
        <w:t xml:space="preserve"/>
      </w:r>
    </w:p>
    <w:p>
      <w:pPr>
        <w:pBdr>
          <w:left w:val="single" w:color="E65100" w:sz="16"/>
        </w:pBdr>
        <w:shd w:fill="FFF3E0" w:val="clear"/>
        <w:spacing w:before="160" w:after="160"/>
        <w:ind w:left="200" w:right="200"/>
      </w:pPr>
      <w:r>
        <w:rPr>
          <w:rFonts w:ascii="Arial" w:cs="Arial" w:eastAsia="Arial" w:hAnsi="Arial"/>
          <w:i/>
          <w:iCs/>
          <w:color w:val="333333"/>
          <w:sz w:val="20"/>
          <w:szCs w:val="20"/>
        </w:rPr>
        <w:t xml:space="preserve">Fazit: Der Aufwand entsteht nicht weil das System Probleme hat. Er entsteht weil ein professioneller Betrieb bedeutet, Probleme zu verhindern, bevor sie entstehen.</w:t>
      </w:r>
    </w:p>
    <w:p>
      <w:pPr>
        <w:spacing w:before="0" w:after="120"/>
      </w:pPr>
      <w:r>
        <w:t xml:space="preserve"/>
      </w:r>
    </w:p>
    <w:p>
      <w:pPr>
        <w:pStyle w:val="Heading1"/>
        <w:pBdr>
          <w:bottom w:val="single" w:color="002451" w:sz="6" w:space="6"/>
        </w:pBdr>
        <w:spacing w:before="400" w:after="160"/>
      </w:pPr>
      <w:r>
        <w:rPr>
          <w:rFonts w:ascii="Arial" w:cs="Arial" w:eastAsia="Arial" w:hAnsi="Arial"/>
          <w:b/>
          <w:bCs/>
          <w:color w:val="002451"/>
          <w:sz w:val="30"/>
          <w:szCs w:val="30"/>
        </w:rPr>
        <w:t xml:space="preserve">3.  Die Ausbaustufen im Ueberblick</w:t>
      </w:r>
    </w:p>
    <w:p>
      <w:pPr>
        <w:spacing w:before="60" w:after="80"/>
      </w:pPr>
      <w:r>
        <w:rPr>
          <w:rFonts w:ascii="Arial" w:cs="Arial" w:eastAsia="Arial" w:hAnsi="Arial"/>
          <w:color w:val="555555"/>
          <w:sz w:val="21"/>
          <w:szCs w:val="21"/>
        </w:rPr>
        <w:t xml:space="preserve">Die folgende Tabelle zeigt alle relevanten Wachstumsstufen mit den jeweils typischen Parametern. Kosten sind Nettobetraege, Stand Februar 2026.</w:t>
      </w:r>
    </w:p>
    <w:p>
      <w:pPr>
        <w:spacing w:before="0"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300"/>
        <w:gridCol w:w="2100"/>
        <w:gridCol w:w="1700"/>
        <w:gridCol w:w="2138"/>
      </w:tblGrid>
      <w:tr>
        <w:trPr>
          <w:tblHeader/>
        </w:trPr>
        <w:tc>
          <w:tcPr>
            <w:tcW w:type="dxa" w:w="11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Stufe</w:t>
            </w:r>
          </w:p>
        </w:tc>
        <w:tc>
          <w:tcPr>
            <w:tcW w:type="dxa" w:w="13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Kunden</w:t>
            </w:r>
          </w:p>
        </w:tc>
        <w:tc>
          <w:tcPr>
            <w:tcW w:type="dxa" w:w="13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Nutzer</w:t>
            </w:r>
          </w:p>
        </w:tc>
        <w:tc>
          <w:tcPr>
            <w:tcW w:type="dxa" w:w="21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Infrastruktur</w:t>
            </w:r>
          </w:p>
        </w:tc>
        <w:tc>
          <w:tcPr>
            <w:tcW w:type="dxa" w:w="17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Kosten/Monat</w:t>
            </w:r>
          </w:p>
        </w:tc>
        <w:tc>
          <w:tcPr>
            <w:tcW w:type="dxa" w:w="2138"/>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Betriebsaufwand</w:t>
            </w:r>
          </w:p>
        </w:tc>
      </w:tr>
      <w:tr>
        <w:tc>
          <w:tcPr>
            <w:tcW w:type="dxa" w:w="11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pPr>
              <w:spacing w:before="0" w:after="0"/>
            </w:pPr>
            <w:r>
              <w:rPr>
                <w:rFonts w:ascii="Arial" w:cs="Arial" w:eastAsia="Arial" w:hAnsi="Arial"/>
                <w:b/>
                <w:bCs/>
                <w:i w:val="false"/>
                <w:iCs w:val="false"/>
                <w:color w:val="002451"/>
                <w:sz w:val="19"/>
                <w:szCs w:val="19"/>
              </w:rPr>
              <w:t xml:space="preserve">0</w:t>
            </w:r>
          </w:p>
          <w:p>
            <w:pPr>
              <w:spacing w:before="40" w:after="0"/>
            </w:pPr>
            <w:r>
              <w:rPr>
                <w:rFonts w:ascii="Arial" w:cs="Arial" w:eastAsia="Arial" w:hAnsi="Arial"/>
                <w:b/>
                <w:bCs/>
                <w:i/>
                <w:iCs/>
                <w:color w:val="002451"/>
                <w:sz w:val="19"/>
                <w:szCs w:val="19"/>
              </w:rPr>
              <w:t xml:space="preserve">Heute</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1-15</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bis 75</w:t>
            </w:r>
          </w:p>
        </w:tc>
        <w:tc>
          <w:tcPr>
            <w:tcW w:type="dxa" w:w="21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i w:val="false"/>
                <w:iCs w:val="false"/>
                <w:color w:val="555555"/>
                <w:sz w:val="19"/>
                <w:szCs w:val="19"/>
              </w:rPr>
              <w:t xml:space="preserve">Vercel + Supabase Pro</w:t>
            </w:r>
          </w:p>
          <w:p>
            <w:pPr>
              <w:spacing w:before="40" w:after="0"/>
            </w:pPr>
            <w:r>
              <w:rPr>
                <w:rFonts w:ascii="Arial" w:cs="Arial" w:eastAsia="Arial" w:hAnsi="Arial"/>
                <w:b w:val="false"/>
                <w:bCs w:val="false"/>
                <w:i w:val="false"/>
                <w:iCs w:val="false"/>
                <w:color w:val="555555"/>
                <w:sz w:val="19"/>
                <w:szCs w:val="19"/>
              </w:rPr>
              <w:t xml:space="preserve">EU-Server, managed</w:t>
            </w:r>
          </w:p>
        </w:tc>
        <w:tc>
          <w:tcPr>
            <w:tcW w:type="dxa" w:w="17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before="0" w:after="0"/>
            </w:pPr>
            <w:r>
              <w:rPr>
                <w:rFonts w:ascii="Arial" w:cs="Arial" w:eastAsia="Arial" w:hAnsi="Arial"/>
                <w:b/>
                <w:bCs/>
                <w:i w:val="false"/>
                <w:iCs w:val="false"/>
                <w:color w:val="2E7D32"/>
                <w:sz w:val="19"/>
                <w:szCs w:val="19"/>
              </w:rPr>
              <w:t xml:space="preserve">ca. 23 EUR</w:t>
            </w:r>
          </w:p>
          <w:p>
            <w:pPr>
              <w:spacing w:before="40" w:after="0"/>
            </w:pPr>
            <w:r>
              <w:rPr>
                <w:rFonts w:ascii="Arial" w:cs="Arial" w:eastAsia="Arial" w:hAnsi="Arial"/>
                <w:b w:val="false"/>
                <w:bCs w:val="false"/>
                <w:i w:val="false"/>
                <w:iCs w:val="false"/>
                <w:color w:val="2E7D32"/>
                <w:sz w:val="19"/>
                <w:szCs w:val="19"/>
              </w:rPr>
              <w:t xml:space="preserve">(Supabase Pro)</w:t>
            </w:r>
          </w:p>
        </w:tc>
        <w:tc>
          <w:tcPr>
            <w:tcW w:type="dxa" w:w="21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i w:val="false"/>
                <w:iCs w:val="false"/>
                <w:color w:val="555555"/>
                <w:sz w:val="19"/>
                <w:szCs w:val="19"/>
              </w:rPr>
              <w:t xml:space="preserve">Minimal.</w:t>
            </w:r>
          </w:p>
          <w:p>
            <w:pPr>
              <w:spacing w:before="40" w:after="0"/>
            </w:pPr>
            <w:r>
              <w:rPr>
                <w:rFonts w:ascii="Arial" w:cs="Arial" w:eastAsia="Arial" w:hAnsi="Arial"/>
                <w:b w:val="false"/>
                <w:bCs w:val="false"/>
                <w:i w:val="false"/>
                <w:iCs w:val="false"/>
                <w:color w:val="555555"/>
                <w:sz w:val="19"/>
                <w:szCs w:val="19"/>
              </w:rPr>
              <w:t xml:space="preserve">Plattform managed alles</w:t>
            </w:r>
          </w:p>
        </w:tc>
      </w:tr>
      <w:tr>
        <w:tc>
          <w:tcPr>
            <w:tcW w:type="dxa" w:w="11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pPr>
              <w:spacing w:before="0" w:after="0"/>
            </w:pPr>
            <w:r>
              <w:rPr>
                <w:rFonts w:ascii="Arial" w:cs="Arial" w:eastAsia="Arial" w:hAnsi="Arial"/>
                <w:b/>
                <w:bCs/>
                <w:i w:val="false"/>
                <w:iCs w:val="false"/>
                <w:color w:val="002451"/>
                <w:sz w:val="19"/>
                <w:szCs w:val="19"/>
              </w:rPr>
              <w:t xml:space="preserve">1</w:t>
            </w:r>
          </w:p>
          <w:p>
            <w:pPr>
              <w:spacing w:before="40" w:after="0"/>
            </w:pPr>
            <w:r>
              <w:rPr>
                <w:rFonts w:ascii="Arial" w:cs="Arial" w:eastAsia="Arial" w:hAnsi="Arial"/>
                <w:b/>
                <w:bCs/>
                <w:i/>
                <w:iCs/>
                <w:color w:val="002451"/>
                <w:sz w:val="19"/>
                <w:szCs w:val="19"/>
              </w:rPr>
              <w:t xml:space="preserve">Eigenhosting Start</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10-50</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bis 250</w:t>
            </w:r>
          </w:p>
        </w:tc>
        <w:tc>
          <w:tcPr>
            <w:tcW w:type="dxa" w:w="21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i w:val="false"/>
                <w:iCs w:val="false"/>
                <w:color w:val="555555"/>
                <w:sz w:val="19"/>
                <w:szCs w:val="19"/>
              </w:rPr>
              <w:t xml:space="preserve">1x Hetzner CPX32</w:t>
            </w:r>
          </w:p>
          <w:p>
            <w:pPr>
              <w:spacing w:before="40" w:after="0"/>
            </w:pPr>
            <w:r>
              <w:rPr>
                <w:rFonts w:ascii="Arial" w:cs="Arial" w:eastAsia="Arial" w:hAnsi="Arial"/>
                <w:b w:val="false"/>
                <w:bCs w:val="false"/>
                <w:i w:val="false"/>
                <w:iCs w:val="false"/>
                <w:color w:val="555555"/>
                <w:sz w:val="19"/>
                <w:szCs w:val="19"/>
              </w:rPr>
              <w:t xml:space="preserve">App + DB auf einem Server</w:t>
            </w:r>
          </w:p>
          <w:p>
            <w:pPr>
              <w:spacing w:before="40" w:after="0"/>
            </w:pPr>
            <w:r>
              <w:rPr>
                <w:rFonts w:ascii="Arial" w:cs="Arial" w:eastAsia="Arial" w:hAnsi="Arial"/>
                <w:b w:val="false"/>
                <w:bCs w:val="false"/>
                <w:i w:val="false"/>
                <w:iCs w:val="false"/>
                <w:color w:val="555555"/>
                <w:sz w:val="19"/>
                <w:szCs w:val="19"/>
              </w:rPr>
              <w:t xml:space="preserve">Nginx, SSL, Backup</w:t>
            </w:r>
          </w:p>
        </w:tc>
        <w:tc>
          <w:tcPr>
            <w:tcW w:type="dxa" w:w="17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before="0" w:after="0"/>
            </w:pPr>
            <w:r>
              <w:rPr>
                <w:rFonts w:ascii="Arial" w:cs="Arial" w:eastAsia="Arial" w:hAnsi="Arial"/>
                <w:b/>
                <w:bCs/>
                <w:i w:val="false"/>
                <w:iCs w:val="false"/>
                <w:color w:val="2E7D32"/>
                <w:sz w:val="19"/>
                <w:szCs w:val="19"/>
              </w:rPr>
              <w:t xml:space="preserve">ca. 10-15 EUR</w:t>
            </w:r>
          </w:p>
          <w:p>
            <w:pPr>
              <w:spacing w:before="40" w:after="0"/>
            </w:pPr>
            <w:r>
              <w:rPr>
                <w:rFonts w:ascii="Arial" w:cs="Arial" w:eastAsia="Arial" w:hAnsi="Arial"/>
                <w:b w:val="false"/>
                <w:bCs w:val="false"/>
                <w:i w:val="false"/>
                <w:iCs w:val="false"/>
                <w:color w:val="2E7D32"/>
                <w:sz w:val="19"/>
                <w:szCs w:val="19"/>
              </w:rPr>
              <w:t xml:space="preserve">Hardware</w:t>
            </w:r>
          </w:p>
          <w:p>
            <w:pPr>
              <w:spacing w:before="40" w:after="0"/>
            </w:pPr>
            <w:r>
              <w:rPr>
                <w:rFonts w:ascii="Arial" w:cs="Arial" w:eastAsia="Arial" w:hAnsi="Arial"/>
                <w:b w:val="false"/>
                <w:bCs w:val="false"/>
                <w:i w:val="false"/>
                <w:iCs w:val="false"/>
                <w:color w:val="2E7D32"/>
                <w:sz w:val="19"/>
                <w:szCs w:val="19"/>
              </w:rPr>
              <w:t xml:space="preserve">+ 200-400 EUR Setup</w:t>
            </w:r>
          </w:p>
        </w:tc>
        <w:tc>
          <w:tcPr>
            <w:tcW w:type="dxa" w:w="21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i w:val="false"/>
                <w:iCs w:val="false"/>
                <w:color w:val="555555"/>
                <w:sz w:val="19"/>
                <w:szCs w:val="19"/>
              </w:rPr>
              <w:t xml:space="preserve">2-4 h/Monat</w:t>
            </w:r>
          </w:p>
          <w:p>
            <w:pPr>
              <w:spacing w:before="40" w:after="0"/>
            </w:pPr>
            <w:r>
              <w:rPr>
                <w:rFonts w:ascii="Arial" w:cs="Arial" w:eastAsia="Arial" w:hAnsi="Arial"/>
                <w:b w:val="false"/>
                <w:bCs w:val="false"/>
                <w:i w:val="false"/>
                <w:iCs w:val="false"/>
                <w:color w:val="555555"/>
                <w:sz w:val="19"/>
                <w:szCs w:val="19"/>
              </w:rPr>
              <w:t xml:space="preserve">Updates, Backup-Check</w:t>
            </w:r>
          </w:p>
        </w:tc>
      </w:tr>
      <w:tr>
        <w:tc>
          <w:tcPr>
            <w:tcW w:type="dxa" w:w="11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pPr>
              <w:spacing w:before="0" w:after="0"/>
            </w:pPr>
            <w:r>
              <w:rPr>
                <w:rFonts w:ascii="Arial" w:cs="Arial" w:eastAsia="Arial" w:hAnsi="Arial"/>
                <w:b/>
                <w:bCs/>
                <w:i w:val="false"/>
                <w:iCs w:val="false"/>
                <w:color w:val="002451"/>
                <w:sz w:val="19"/>
                <w:szCs w:val="19"/>
              </w:rPr>
              <w:t xml:space="preserve">2</w:t>
            </w:r>
          </w:p>
          <w:p>
            <w:pPr>
              <w:spacing w:before="40" w:after="0"/>
            </w:pPr>
            <w:r>
              <w:rPr>
                <w:rFonts w:ascii="Arial" w:cs="Arial" w:eastAsia="Arial" w:hAnsi="Arial"/>
                <w:b/>
                <w:bCs/>
                <w:i/>
                <w:iCs/>
                <w:color w:val="002451"/>
                <w:sz w:val="19"/>
                <w:szCs w:val="19"/>
              </w:rPr>
              <w:t xml:space="preserve">Wachstum</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50-300</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250-1.500</w:t>
            </w:r>
          </w:p>
        </w:tc>
        <w:tc>
          <w:tcPr>
            <w:tcW w:type="dxa" w:w="21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i w:val="false"/>
                <w:iCs w:val="false"/>
                <w:color w:val="555555"/>
                <w:sz w:val="19"/>
                <w:szCs w:val="19"/>
              </w:rPr>
              <w:t xml:space="preserve">2x Hetzner Server:</w:t>
            </w:r>
          </w:p>
          <w:p>
            <w:pPr>
              <w:spacing w:before="40" w:after="0"/>
            </w:pPr>
            <w:r>
              <w:rPr>
                <w:rFonts w:ascii="Arial" w:cs="Arial" w:eastAsia="Arial" w:hAnsi="Arial"/>
                <w:b w:val="false"/>
                <w:bCs w:val="false"/>
                <w:i w:val="false"/>
                <w:iCs w:val="false"/>
                <w:color w:val="555555"/>
                <w:sz w:val="19"/>
                <w:szCs w:val="19"/>
              </w:rPr>
              <w:t xml:space="preserve">App-Server (CCX22)</w:t>
            </w:r>
          </w:p>
          <w:p>
            <w:pPr>
              <w:spacing w:before="40" w:after="0"/>
            </w:pPr>
            <w:r>
              <w:rPr>
                <w:rFonts w:ascii="Arial" w:cs="Arial" w:eastAsia="Arial" w:hAnsi="Arial"/>
                <w:b w:val="false"/>
                <w:bCs w:val="false"/>
                <w:i w:val="false"/>
                <w:iCs w:val="false"/>
                <w:color w:val="555555"/>
                <w:sz w:val="19"/>
                <w:szCs w:val="19"/>
              </w:rPr>
              <w:t xml:space="preserve">DB-Server (CPX32)</w:t>
            </w:r>
          </w:p>
          <w:p>
            <w:pPr>
              <w:spacing w:before="40" w:after="0"/>
            </w:pPr>
            <w:r>
              <w:rPr>
                <w:rFonts w:ascii="Arial" w:cs="Arial" w:eastAsia="Arial" w:hAnsi="Arial"/>
                <w:b w:val="false"/>
                <w:bCs w:val="false"/>
                <w:i w:val="false"/>
                <w:iCs w:val="false"/>
                <w:color w:val="555555"/>
                <w:sz w:val="19"/>
                <w:szCs w:val="19"/>
              </w:rPr>
              <w:t xml:space="preserve">+ Load Balancer</w:t>
            </w:r>
          </w:p>
        </w:tc>
        <w:tc>
          <w:tcPr>
            <w:tcW w:type="dxa" w:w="1700"/>
            <w:gridSpan w:val="1"/>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tcPr>
          <w:p>
            <w:pPr>
              <w:spacing w:before="0" w:after="0"/>
            </w:pPr>
            <w:r>
              <w:rPr>
                <w:rFonts w:ascii="Arial" w:cs="Arial" w:eastAsia="Arial" w:hAnsi="Arial"/>
                <w:b/>
                <w:bCs/>
                <w:i w:val="false"/>
                <w:iCs w:val="false"/>
                <w:color w:val="B8860B"/>
                <w:sz w:val="19"/>
                <w:szCs w:val="19"/>
              </w:rPr>
              <w:t xml:space="preserve">50-90 EUR</w:t>
            </w:r>
          </w:p>
          <w:p>
            <w:pPr>
              <w:spacing w:before="40" w:after="0"/>
            </w:pPr>
            <w:r>
              <w:rPr>
                <w:rFonts w:ascii="Arial" w:cs="Arial" w:eastAsia="Arial" w:hAnsi="Arial"/>
                <w:b w:val="false"/>
                <w:bCs w:val="false"/>
                <w:i w:val="false"/>
                <w:iCs w:val="false"/>
                <w:color w:val="B8860B"/>
                <w:sz w:val="19"/>
                <w:szCs w:val="19"/>
              </w:rPr>
              <w:t xml:space="preserve">Hardware + LB</w:t>
            </w:r>
          </w:p>
          <w:p>
            <w:pPr>
              <w:spacing w:before="40" w:after="0"/>
            </w:pPr>
            <w:r>
              <w:rPr>
                <w:rFonts w:ascii="Arial" w:cs="Arial" w:eastAsia="Arial" w:hAnsi="Arial"/>
                <w:b w:val="false"/>
                <w:bCs w:val="false"/>
                <w:i w:val="false"/>
                <w:iCs w:val="false"/>
                <w:color w:val="B8860B"/>
                <w:sz w:val="19"/>
                <w:szCs w:val="19"/>
              </w:rPr>
              <w:t xml:space="preserve">+ 300-600 EUR Betrieb</w:t>
            </w:r>
          </w:p>
        </w:tc>
        <w:tc>
          <w:tcPr>
            <w:tcW w:type="dxa" w:w="21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i w:val="false"/>
                <w:iCs w:val="false"/>
                <w:color w:val="555555"/>
                <w:sz w:val="19"/>
                <w:szCs w:val="19"/>
              </w:rPr>
              <w:t xml:space="preserve">6-10 h/Monat</w:t>
            </w:r>
          </w:p>
          <w:p>
            <w:pPr>
              <w:spacing w:before="40" w:after="0"/>
            </w:pPr>
            <w:r>
              <w:rPr>
                <w:rFonts w:ascii="Arial" w:cs="Arial" w:eastAsia="Arial" w:hAnsi="Arial"/>
                <w:b w:val="false"/>
                <w:bCs w:val="false"/>
                <w:i w:val="false"/>
                <w:iCs w:val="false"/>
                <w:color w:val="555555"/>
                <w:sz w:val="19"/>
                <w:szCs w:val="19"/>
              </w:rPr>
              <w:t xml:space="preserve">Monitoring, Tuning</w:t>
            </w:r>
          </w:p>
          <w:p>
            <w:pPr>
              <w:spacing w:before="40" w:after="0"/>
            </w:pPr>
            <w:r>
              <w:rPr>
                <w:rFonts w:ascii="Arial" w:cs="Arial" w:eastAsia="Arial" w:hAnsi="Arial"/>
                <w:b w:val="false"/>
                <w:bCs w:val="false"/>
                <w:i w:val="false"/>
                <w:iCs w:val="false"/>
                <w:color w:val="555555"/>
                <w:sz w:val="19"/>
                <w:szCs w:val="19"/>
              </w:rPr>
              <w:t xml:space="preserve">oder externer DevOps</w:t>
            </w:r>
          </w:p>
        </w:tc>
      </w:tr>
      <w:tr>
        <w:tc>
          <w:tcPr>
            <w:tcW w:type="dxa" w:w="11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pPr>
              <w:spacing w:before="0" w:after="0"/>
            </w:pPr>
            <w:r>
              <w:rPr>
                <w:rFonts w:ascii="Arial" w:cs="Arial" w:eastAsia="Arial" w:hAnsi="Arial"/>
                <w:b/>
                <w:bCs/>
                <w:i w:val="false"/>
                <w:iCs w:val="false"/>
                <w:color w:val="002451"/>
                <w:sz w:val="19"/>
                <w:szCs w:val="19"/>
              </w:rPr>
              <w:t xml:space="preserve">3</w:t>
            </w:r>
          </w:p>
          <w:p>
            <w:pPr>
              <w:spacing w:before="40" w:after="0"/>
            </w:pPr>
            <w:r>
              <w:rPr>
                <w:rFonts w:ascii="Arial" w:cs="Arial" w:eastAsia="Arial" w:hAnsi="Arial"/>
                <w:b/>
                <w:bCs/>
                <w:i/>
                <w:iCs/>
                <w:color w:val="002451"/>
                <w:sz w:val="19"/>
                <w:szCs w:val="19"/>
              </w:rPr>
              <w:t xml:space="preserve">Professionell</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300-1.000</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1.500-5.000</w:t>
            </w:r>
          </w:p>
        </w:tc>
        <w:tc>
          <w:tcPr>
            <w:tcW w:type="dxa" w:w="21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i w:val="false"/>
                <w:iCs w:val="false"/>
                <w:color w:val="555555"/>
                <w:sz w:val="19"/>
                <w:szCs w:val="19"/>
              </w:rPr>
              <w:t xml:space="preserve">Cluster-Architektur:</w:t>
            </w:r>
          </w:p>
          <w:p>
            <w:pPr>
              <w:spacing w:before="40" w:after="0"/>
            </w:pPr>
            <w:r>
              <w:rPr>
                <w:rFonts w:ascii="Arial" w:cs="Arial" w:eastAsia="Arial" w:hAnsi="Arial"/>
                <w:b w:val="false"/>
                <w:bCs w:val="false"/>
                <w:i w:val="false"/>
                <w:iCs w:val="false"/>
                <w:color w:val="555555"/>
                <w:sz w:val="19"/>
                <w:szCs w:val="19"/>
              </w:rPr>
              <w:t xml:space="preserve">3+ App-Server</w:t>
            </w:r>
          </w:p>
          <w:p>
            <w:pPr>
              <w:spacing w:before="40" w:after="0"/>
            </w:pPr>
            <w:r>
              <w:rPr>
                <w:rFonts w:ascii="Arial" w:cs="Arial" w:eastAsia="Arial" w:hAnsi="Arial"/>
                <w:b w:val="false"/>
                <w:bCs w:val="false"/>
                <w:i w:val="false"/>
                <w:iCs w:val="false"/>
                <w:color w:val="555555"/>
                <w:sz w:val="19"/>
                <w:szCs w:val="19"/>
              </w:rPr>
              <w:t xml:space="preserve">DB Primary + Replica</w:t>
            </w:r>
          </w:p>
          <w:p>
            <w:pPr>
              <w:spacing w:before="40" w:after="0"/>
            </w:pPr>
            <w:r>
              <w:rPr>
                <w:rFonts w:ascii="Arial" w:cs="Arial" w:eastAsia="Arial" w:hAnsi="Arial"/>
                <w:b w:val="false"/>
                <w:bCs w:val="false"/>
                <w:i w:val="false"/>
                <w:iCs w:val="false"/>
                <w:color w:val="555555"/>
                <w:sz w:val="19"/>
                <w:szCs w:val="19"/>
              </w:rPr>
              <w:t xml:space="preserve">WAF, CDN, DDoS</w:t>
            </w:r>
          </w:p>
        </w:tc>
        <w:tc>
          <w:tcPr>
            <w:tcW w:type="dxa" w:w="1700"/>
            <w:gridSpan w:val="1"/>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pPr>
              <w:spacing w:before="0" w:after="0"/>
            </w:pPr>
            <w:r>
              <w:rPr>
                <w:rFonts w:ascii="Arial" w:cs="Arial" w:eastAsia="Arial" w:hAnsi="Arial"/>
                <w:b/>
                <w:bCs/>
                <w:i w:val="false"/>
                <w:iCs w:val="false"/>
                <w:color w:val="E65100"/>
                <w:sz w:val="19"/>
                <w:szCs w:val="19"/>
              </w:rPr>
              <w:t xml:space="preserve">200-500 EUR</w:t>
            </w:r>
          </w:p>
          <w:p>
            <w:pPr>
              <w:spacing w:before="40" w:after="0"/>
            </w:pPr>
            <w:r>
              <w:rPr>
                <w:rFonts w:ascii="Arial" w:cs="Arial" w:eastAsia="Arial" w:hAnsi="Arial"/>
                <w:b w:val="false"/>
                <w:bCs w:val="false"/>
                <w:i w:val="false"/>
                <w:iCs w:val="false"/>
                <w:color w:val="E65100"/>
                <w:sz w:val="19"/>
                <w:szCs w:val="19"/>
              </w:rPr>
              <w:t xml:space="preserve">Hardware</w:t>
            </w:r>
          </w:p>
          <w:p>
            <w:pPr>
              <w:spacing w:before="40" w:after="0"/>
            </w:pPr>
            <w:r>
              <w:rPr>
                <w:rFonts w:ascii="Arial" w:cs="Arial" w:eastAsia="Arial" w:hAnsi="Arial"/>
                <w:b w:val="false"/>
                <w:bCs w:val="false"/>
                <w:i w:val="false"/>
                <w:iCs w:val="false"/>
                <w:color w:val="E65100"/>
                <w:sz w:val="19"/>
                <w:szCs w:val="19"/>
              </w:rPr>
              <w:t xml:space="preserve">+ 800-1.500 EUR Betrieb</w:t>
            </w:r>
          </w:p>
        </w:tc>
        <w:tc>
          <w:tcPr>
            <w:tcW w:type="dxa" w:w="21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i w:val="false"/>
                <w:iCs w:val="false"/>
                <w:color w:val="555555"/>
                <w:sz w:val="19"/>
                <w:szCs w:val="19"/>
              </w:rPr>
              <w:t xml:space="preserve">Vollzeit-DevOps oder</w:t>
            </w:r>
          </w:p>
          <w:p>
            <w:pPr>
              <w:spacing w:before="40" w:after="0"/>
            </w:pPr>
            <w:r>
              <w:rPr>
                <w:rFonts w:ascii="Arial" w:cs="Arial" w:eastAsia="Arial" w:hAnsi="Arial"/>
                <w:b w:val="false"/>
                <w:bCs w:val="false"/>
                <w:i w:val="false"/>
                <w:iCs w:val="false"/>
                <w:color w:val="555555"/>
                <w:sz w:val="19"/>
                <w:szCs w:val="19"/>
              </w:rPr>
              <w:t xml:space="preserve">Managed Service noetig</w:t>
            </w:r>
          </w:p>
          <w:p>
            <w:pPr>
              <w:spacing w:before="40" w:after="0"/>
            </w:pPr>
            <w:r>
              <w:rPr>
                <w:rFonts w:ascii="Arial" w:cs="Arial" w:eastAsia="Arial" w:hAnsi="Arial"/>
                <w:b w:val="false"/>
                <w:bCs w:val="false"/>
                <w:i w:val="false"/>
                <w:iCs w:val="false"/>
                <w:color w:val="555555"/>
                <w:sz w:val="19"/>
                <w:szCs w:val="19"/>
              </w:rPr>
              <w:t xml:space="preserve">ca. 20-40 h/Monat</w:t>
            </w:r>
          </w:p>
        </w:tc>
      </w:tr>
      <w:tr>
        <w:tc>
          <w:tcPr>
            <w:tcW w:type="dxa" w:w="11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pPr>
              <w:spacing w:before="0" w:after="0"/>
            </w:pPr>
            <w:r>
              <w:rPr>
                <w:rFonts w:ascii="Arial" w:cs="Arial" w:eastAsia="Arial" w:hAnsi="Arial"/>
                <w:b/>
                <w:bCs/>
                <w:i w:val="false"/>
                <w:iCs w:val="false"/>
                <w:color w:val="002451"/>
                <w:sz w:val="19"/>
                <w:szCs w:val="19"/>
              </w:rPr>
              <w:t xml:space="preserve">4</w:t>
            </w:r>
          </w:p>
          <w:p>
            <w:pPr>
              <w:spacing w:before="40" w:after="0"/>
            </w:pPr>
            <w:r>
              <w:rPr>
                <w:rFonts w:ascii="Arial" w:cs="Arial" w:eastAsia="Arial" w:hAnsi="Arial"/>
                <w:b/>
                <w:bCs/>
                <w:i/>
                <w:iCs/>
                <w:color w:val="002451"/>
                <w:sz w:val="19"/>
                <w:szCs w:val="19"/>
              </w:rPr>
              <w:t xml:space="preserve">Enterprise</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1.000+</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5.000+</w:t>
            </w:r>
          </w:p>
        </w:tc>
        <w:tc>
          <w:tcPr>
            <w:tcW w:type="dxa" w:w="21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i w:val="false"/>
                <w:iCs w:val="false"/>
                <w:color w:val="555555"/>
                <w:sz w:val="19"/>
                <w:szCs w:val="19"/>
              </w:rPr>
              <w:t xml:space="preserve">Multi-Region:</w:t>
            </w:r>
          </w:p>
          <w:p>
            <w:pPr>
              <w:spacing w:before="40" w:after="0"/>
            </w:pPr>
            <w:r>
              <w:rPr>
                <w:rFonts w:ascii="Arial" w:cs="Arial" w:eastAsia="Arial" w:hAnsi="Arial"/>
                <w:b w:val="false"/>
                <w:bCs w:val="false"/>
                <w:i w:val="false"/>
                <w:iCs w:val="false"/>
                <w:color w:val="555555"/>
                <w:sz w:val="19"/>
                <w:szCs w:val="19"/>
              </w:rPr>
              <w:t xml:space="preserve">Kubernetes / AWS / GCP</w:t>
            </w:r>
          </w:p>
          <w:p>
            <w:pPr>
              <w:spacing w:before="40" w:after="0"/>
            </w:pPr>
            <w:r>
              <w:rPr>
                <w:rFonts w:ascii="Arial" w:cs="Arial" w:eastAsia="Arial" w:hAnsi="Arial"/>
                <w:b w:val="false"/>
                <w:bCs w:val="false"/>
                <w:i w:val="false"/>
                <w:iCs w:val="false"/>
                <w:color w:val="555555"/>
                <w:sz w:val="19"/>
                <w:szCs w:val="19"/>
              </w:rPr>
              <w:t xml:space="preserve">Auto-Scaling</w:t>
            </w:r>
          </w:p>
          <w:p>
            <w:pPr>
              <w:spacing w:before="40" w:after="0"/>
            </w:pPr>
            <w:r>
              <w:rPr>
                <w:rFonts w:ascii="Arial" w:cs="Arial" w:eastAsia="Arial" w:hAnsi="Arial"/>
                <w:b w:val="false"/>
                <w:bCs w:val="false"/>
                <w:i w:val="false"/>
                <w:iCs w:val="false"/>
                <w:color w:val="555555"/>
                <w:sz w:val="19"/>
                <w:szCs w:val="19"/>
              </w:rPr>
              <w:t xml:space="preserve">ISO 27001, SLA 99,9%</w:t>
            </w:r>
          </w:p>
        </w:tc>
        <w:tc>
          <w:tcPr>
            <w:tcW w:type="dxa" w:w="1700"/>
            <w:gridSpan w:val="1"/>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pPr>
              <w:spacing w:before="0" w:after="0"/>
            </w:pPr>
            <w:r>
              <w:rPr>
                <w:rFonts w:ascii="Arial" w:cs="Arial" w:eastAsia="Arial" w:hAnsi="Arial"/>
                <w:b/>
                <w:bCs/>
                <w:i w:val="false"/>
                <w:iCs w:val="false"/>
                <w:color w:val="C62828"/>
                <w:sz w:val="19"/>
                <w:szCs w:val="19"/>
              </w:rPr>
              <w:t xml:space="preserve">ab 1.500 EUR</w:t>
            </w:r>
          </w:p>
          <w:p>
            <w:pPr>
              <w:spacing w:before="40" w:after="0"/>
            </w:pPr>
            <w:r>
              <w:rPr>
                <w:rFonts w:ascii="Arial" w:cs="Arial" w:eastAsia="Arial" w:hAnsi="Arial"/>
                <w:b w:val="false"/>
                <w:bCs w:val="false"/>
                <w:i w:val="false"/>
                <w:iCs w:val="false"/>
                <w:color w:val="C62828"/>
                <w:sz w:val="19"/>
                <w:szCs w:val="19"/>
              </w:rPr>
              <w:t xml:space="preserve">Infrastruktur pur</w:t>
            </w:r>
          </w:p>
          <w:p>
            <w:pPr>
              <w:spacing w:before="40" w:after="0"/>
            </w:pPr>
            <w:r>
              <w:rPr>
                <w:rFonts w:ascii="Arial" w:cs="Arial" w:eastAsia="Arial" w:hAnsi="Arial"/>
                <w:b w:val="false"/>
                <w:bCs w:val="false"/>
                <w:i w:val="false"/>
                <w:iCs w:val="false"/>
                <w:color w:val="C62828"/>
                <w:sz w:val="19"/>
                <w:szCs w:val="19"/>
              </w:rPr>
              <w:t xml:space="preserve">+ dediziertes Team</w:t>
            </w:r>
          </w:p>
        </w:tc>
        <w:tc>
          <w:tcPr>
            <w:tcW w:type="dxa" w:w="21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i w:val="false"/>
                <w:iCs w:val="false"/>
                <w:color w:val="555555"/>
                <w:sz w:val="19"/>
                <w:szCs w:val="19"/>
              </w:rPr>
              <w:t xml:space="preserve">Eigenes DevOps-Team</w:t>
            </w:r>
          </w:p>
          <w:p>
            <w:pPr>
              <w:spacing w:before="40" w:after="0"/>
            </w:pPr>
            <w:r>
              <w:rPr>
                <w:rFonts w:ascii="Arial" w:cs="Arial" w:eastAsia="Arial" w:hAnsi="Arial"/>
                <w:b w:val="false"/>
                <w:bCs w:val="false"/>
                <w:i w:val="false"/>
                <w:iCs w:val="false"/>
                <w:color w:val="555555"/>
                <w:sz w:val="19"/>
                <w:szCs w:val="19"/>
              </w:rPr>
              <w:t xml:space="preserve">oder professioneller</w:t>
            </w:r>
          </w:p>
          <w:p>
            <w:pPr>
              <w:spacing w:before="40" w:after="0"/>
            </w:pPr>
            <w:r>
              <w:rPr>
                <w:rFonts w:ascii="Arial" w:cs="Arial" w:eastAsia="Arial" w:hAnsi="Arial"/>
                <w:b w:val="false"/>
                <w:bCs w:val="false"/>
                <w:i w:val="false"/>
                <w:iCs w:val="false"/>
                <w:color w:val="555555"/>
                <w:sz w:val="19"/>
                <w:szCs w:val="19"/>
              </w:rPr>
              <w:t xml:space="preserve">Cloud-Betreiber</w:t>
            </w:r>
          </w:p>
        </w:tc>
      </w:tr>
    </w:tbl>
    <w:p>
      <w:pPr>
        <w:spacing w:before="0" w:after="120"/>
      </w:pPr>
      <w:r>
        <w:t xml:space="preserve"/>
      </w:r>
    </w:p>
    <w:p>
      <w:pPr>
        <w:pBdr>
          <w:left w:val="single" w:color="002451" w:sz="16"/>
        </w:pBdr>
        <w:shd w:fill="EEF3F9" w:val="clear"/>
        <w:spacing w:before="160" w:after="160"/>
        <w:ind w:left="200" w:right="200"/>
      </w:pPr>
      <w:r>
        <w:rPr>
          <w:rFonts w:ascii="Arial" w:cs="Arial" w:eastAsia="Arial" w:hAnsi="Arial"/>
          <w:i/>
          <w:iCs/>
          <w:color w:val="333333"/>
          <w:sz w:val="20"/>
          <w:szCs w:val="20"/>
        </w:rPr>
        <w:t xml:space="preserve">Wichtig: Die Stufenuebergaenge sind keine scharfen Grenzen. Ein gut konfigurierter einzelner Hetzner-Server (Stufe 1) kann in Ausnahmefaellen auch 200 Kunden tragen - haengt von der tatstaechlichen Nutzungsintensitaet ab.</w:t>
      </w:r>
    </w:p>
    <w:p>
      <w:pPr>
        <w:spacing w:before="0" w:after="120"/>
      </w:pPr>
      <w:r>
        <w:t xml:space="preserve"/>
      </w:r>
    </w:p>
    <w:p>
      <w:pPr>
        <w:pStyle w:val="Heading1"/>
        <w:pBdr>
          <w:bottom w:val="single" w:color="002451" w:sz="6" w:space="6"/>
        </w:pBdr>
        <w:spacing w:before="400" w:after="160"/>
      </w:pPr>
      <w:r>
        <w:rPr>
          <w:rFonts w:ascii="Arial" w:cs="Arial" w:eastAsia="Arial" w:hAnsi="Arial"/>
          <w:b/>
          <w:bCs/>
          <w:color w:val="002451"/>
          <w:sz w:val="30"/>
          <w:szCs w:val="30"/>
        </w:rPr>
        <w:t xml:space="preserve">4.  Betriebsaufwand im Detail</w:t>
      </w:r>
    </w:p>
    <w:p>
      <w:pPr>
        <w:spacing w:before="60" w:after="80"/>
      </w:pPr>
      <w:r>
        <w:rPr>
          <w:rFonts w:ascii="Arial" w:cs="Arial" w:eastAsia="Arial" w:hAnsi="Arial"/>
          <w:color w:val="555555"/>
          <w:sz w:val="21"/>
          <w:szCs w:val="21"/>
        </w:rPr>
        <w:t xml:space="preserve">Diese Tabelle schluesselst auf, was hinter den Stundenzahlen steckt und warum der Aufwand mit jeder Stufe waechst.</w:t>
      </w:r>
    </w:p>
    <w:p>
      <w:pPr>
        <w:spacing w:before="0"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700"/>
        <w:gridCol w:w="1700"/>
        <w:gridCol w:w="2438"/>
      </w:tblGrid>
      <w:tr>
        <w:trPr>
          <w:tblHeader/>
        </w:trPr>
        <w:tc>
          <w:tcPr>
            <w:tcW w:type="dxa" w:w="21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Aufgabe</w:t>
            </w:r>
          </w:p>
        </w:tc>
        <w:tc>
          <w:tcPr>
            <w:tcW w:type="dxa" w:w="17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Stufe 1</w:t>
            </w:r>
          </w:p>
        </w:tc>
        <w:tc>
          <w:tcPr>
            <w:tcW w:type="dxa" w:w="17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Stufe 2</w:t>
            </w:r>
          </w:p>
        </w:tc>
        <w:tc>
          <w:tcPr>
            <w:tcW w:type="dxa" w:w="17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Stufe 3</w:t>
            </w:r>
          </w:p>
        </w:tc>
        <w:tc>
          <w:tcPr>
            <w:tcW w:type="dxa" w:w="2438"/>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Was steckt wirklich dahinter?</w:t>
            </w:r>
          </w:p>
        </w:tc>
      </w:tr>
      <w:tr>
        <w:tc>
          <w:tcPr>
            <w:tcW w:type="dxa" w:w="21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555555"/>
                <w:sz w:val="19"/>
                <w:szCs w:val="19"/>
              </w:rPr>
              <w:t xml:space="preserve">OS &amp; Software Updates</w:t>
            </w:r>
          </w:p>
        </w:tc>
        <w:tc>
          <w:tcPr>
            <w:tcW w:type="dxa" w:w="1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1-2 h/Monat</w:t>
            </w:r>
          </w:p>
        </w:tc>
        <w:tc>
          <w:tcPr>
            <w:tcW w:type="dxa" w:w="1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2-3 h/Monat</w:t>
            </w:r>
          </w:p>
        </w:tc>
        <w:tc>
          <w:tcPr>
            <w:tcW w:type="dxa" w:w="1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4-6 h/Monat</w:t>
            </w:r>
          </w:p>
        </w:tc>
        <w:tc>
          <w:tcPr>
            <w:tcW w:type="dxa" w:w="24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i w:val="false"/>
                <w:iCs w:val="false"/>
                <w:color w:val="555555"/>
                <w:sz w:val="19"/>
                <w:szCs w:val="19"/>
              </w:rPr>
              <w:t xml:space="preserve">Sicherheitsluecken in PostgreSQL, Node, Linux werden regelmaessig bekannt. Jede ungepatchte Luecke ist ein offenes Fenster. Bei Vercel/Supabase passiert das automatisch und unsichtbar.</w:t>
            </w:r>
          </w:p>
        </w:tc>
      </w:tr>
      <w:tr>
        <w:tc>
          <w:tcPr>
            <w:tcW w:type="dxa" w:w="21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555555"/>
                <w:sz w:val="19"/>
                <w:szCs w:val="19"/>
              </w:rPr>
              <w:t xml:space="preserve">Backup &amp; Restore-Tests</w:t>
            </w:r>
          </w:p>
        </w:tc>
        <w:tc>
          <w:tcPr>
            <w:tcW w:type="dxa" w:w="1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1 h/Monat</w:t>
            </w:r>
          </w:p>
        </w:tc>
        <w:tc>
          <w:tcPr>
            <w:tcW w:type="dxa" w:w="1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2 h/Monat</w:t>
            </w:r>
          </w:p>
        </w:tc>
        <w:tc>
          <w:tcPr>
            <w:tcW w:type="dxa" w:w="1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4 h/Monat</w:t>
            </w:r>
          </w:p>
        </w:tc>
        <w:tc>
          <w:tcPr>
            <w:tcW w:type="dxa" w:w="24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i w:val="false"/>
                <w:iCs w:val="false"/>
                <w:color w:val="555555"/>
                <w:sz w:val="19"/>
                <w:szCs w:val="19"/>
              </w:rPr>
              <w:t xml:space="preserve">Ein Backup das nie getestet wurde ist kein Backup. Monatlich muss ein vollstaendiger Restore durchgefuehrt und dokumentiert werden - DSGVO-Pflicht bei Datenpanne.</w:t>
            </w:r>
          </w:p>
        </w:tc>
      </w:tr>
      <w:tr>
        <w:tc>
          <w:tcPr>
            <w:tcW w:type="dxa" w:w="21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555555"/>
                <w:sz w:val="19"/>
                <w:szCs w:val="19"/>
              </w:rPr>
              <w:t xml:space="preserve">Monitoring &amp; Alerting</w:t>
            </w:r>
          </w:p>
        </w:tc>
        <w:tc>
          <w:tcPr>
            <w:tcW w:type="dxa" w:w="1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Setup 4 h
Rutin: passiv</w:t>
            </w:r>
          </w:p>
        </w:tc>
        <w:tc>
          <w:tcPr>
            <w:tcW w:type="dxa" w:w="1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2-3 h/Monat</w:t>
            </w:r>
          </w:p>
        </w:tc>
        <w:tc>
          <w:tcPr>
            <w:tcW w:type="dxa" w:w="1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5-10 h/Monat</w:t>
            </w:r>
          </w:p>
        </w:tc>
        <w:tc>
          <w:tcPr>
            <w:tcW w:type="dxa" w:w="24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i w:val="false"/>
                <w:iCs w:val="false"/>
                <w:color w:val="555555"/>
                <w:sz w:val="19"/>
                <w:szCs w:val="19"/>
              </w:rPr>
              <w:t xml:space="preserve">Ab Stufe 2 muss jemand wissen, wenn der Server um 3 Uhr nachts auslaestet. Alerts einrichten, Dashboards pflegen, auf Meldungen reagieren.</w:t>
            </w:r>
          </w:p>
        </w:tc>
      </w:tr>
      <w:tr>
        <w:tc>
          <w:tcPr>
            <w:tcW w:type="dxa" w:w="21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555555"/>
                <w:sz w:val="19"/>
                <w:szCs w:val="19"/>
              </w:rPr>
              <w:t xml:space="preserve">Kapazitaetsplanung</w:t>
            </w:r>
          </w:p>
        </w:tc>
        <w:tc>
          <w:tcPr>
            <w:tcW w:type="dxa" w:w="17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2E7D32"/>
                <w:sz w:val="19"/>
                <w:szCs w:val="19"/>
              </w:rPr>
              <w:t xml:space="preserve">Kaum noetig</w:t>
            </w:r>
          </w:p>
        </w:tc>
        <w:tc>
          <w:tcPr>
            <w:tcW w:type="dxa" w:w="1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1-2 h/Quartal</w:t>
            </w:r>
          </w:p>
        </w:tc>
        <w:tc>
          <w:tcPr>
            <w:tcW w:type="dxa" w:w="1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laufend</w:t>
            </w:r>
          </w:p>
        </w:tc>
        <w:tc>
          <w:tcPr>
            <w:tcW w:type="dxa" w:w="24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i w:val="false"/>
                <w:iCs w:val="false"/>
                <w:color w:val="555555"/>
                <w:sz w:val="19"/>
                <w:szCs w:val="19"/>
              </w:rPr>
              <w:t xml:space="preserve">Wenn die Datenbank waechst, werden Abfragen langsamer. Indizes muessen ergaenzt, Server rechtzeitig aufgeruested werden - nicht im Notfall, sondern vorausschauend.</w:t>
            </w:r>
          </w:p>
        </w:tc>
      </w:tr>
      <w:tr>
        <w:tc>
          <w:tcPr>
            <w:tcW w:type="dxa" w:w="21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555555"/>
                <w:sz w:val="19"/>
                <w:szCs w:val="19"/>
              </w:rPr>
              <w:t xml:space="preserve">Incident Response</w:t>
            </w:r>
          </w:p>
        </w:tc>
        <w:tc>
          <w:tcPr>
            <w:tcW w:type="dxa" w:w="17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2E7D32"/>
                <w:sz w:val="19"/>
                <w:szCs w:val="19"/>
              </w:rPr>
              <w:t xml:space="preserve">Selten</w:t>
            </w:r>
          </w:p>
        </w:tc>
        <w:tc>
          <w:tcPr>
            <w:tcW w:type="dxa" w:w="1700"/>
            <w:gridSpan w:val="1"/>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B8860B"/>
                <w:sz w:val="19"/>
                <w:szCs w:val="19"/>
              </w:rPr>
              <w:t xml:space="preserve">Gelegentlich</w:t>
            </w:r>
          </w:p>
        </w:tc>
        <w:tc>
          <w:tcPr>
            <w:tcW w:type="dxa" w:w="1700"/>
            <w:gridSpan w:val="1"/>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E65100"/>
                <w:sz w:val="19"/>
                <w:szCs w:val="19"/>
              </w:rPr>
              <w:t xml:space="preserve">Regelmaessig</w:t>
            </w:r>
          </w:p>
        </w:tc>
        <w:tc>
          <w:tcPr>
            <w:tcW w:type="dxa" w:w="24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i w:val="false"/>
                <w:iCs w:val="false"/>
                <w:color w:val="555555"/>
                <w:sz w:val="19"/>
                <w:szCs w:val="19"/>
              </w:rPr>
              <w:t xml:space="preserve">Ausfall, Angriff, Datenverlust - bei mehr Kunden steigt die Wahrscheinlichkeit. Wer reagiert? Wie schnell? Das muss vorab organisiert sein, nicht im Krisenmoment.</w:t>
            </w:r>
          </w:p>
        </w:tc>
      </w:tr>
      <w:tr>
        <w:tc>
          <w:tcPr>
            <w:tcW w:type="dxa" w:w="21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555555"/>
                <w:sz w:val="19"/>
                <w:szCs w:val="19"/>
              </w:rPr>
              <w:t xml:space="preserve">Sicherheits-Audits</w:t>
            </w:r>
          </w:p>
        </w:tc>
        <w:tc>
          <w:tcPr>
            <w:tcW w:type="dxa" w:w="17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2E7D32"/>
                <w:sz w:val="19"/>
                <w:szCs w:val="19"/>
              </w:rPr>
              <w:t xml:space="preserve">Nicht noetig</w:t>
            </w:r>
          </w:p>
        </w:tc>
        <w:tc>
          <w:tcPr>
            <w:tcW w:type="dxa" w:w="1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Jaehrlich 1 Tag</w:t>
            </w:r>
          </w:p>
        </w:tc>
        <w:tc>
          <w:tcPr>
            <w:tcW w:type="dxa" w:w="1700"/>
            <w:gridSpan w:val="1"/>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E65100"/>
                <w:sz w:val="19"/>
                <w:szCs w:val="19"/>
              </w:rPr>
              <w:t xml:space="preserve">Quartalsweise</w:t>
            </w:r>
          </w:p>
        </w:tc>
        <w:tc>
          <w:tcPr>
            <w:tcW w:type="dxa" w:w="24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i w:val="false"/>
                <w:iCs w:val="false"/>
                <w:color w:val="555555"/>
                <w:sz w:val="19"/>
                <w:szCs w:val="19"/>
              </w:rPr>
              <w:t xml:space="preserve">Ab Stufe 3 und spezifisch bei Kunden mit Compliance-Anforderungen (Steuerkanzleien, Foerderinstitute) erwartet man regelmaessige externe Pruefungen.</w:t>
            </w:r>
          </w:p>
        </w:tc>
      </w:tr>
    </w:tbl>
    <w:p>
      <w:pPr>
        <w:spacing w:before="0" w:after="120"/>
      </w:pPr>
      <w:r>
        <w:t xml:space="preserve"/>
      </w:r>
    </w:p>
    <w:p>
      <w:pPr>
        <w:pStyle w:val="Heading1"/>
        <w:pBdr>
          <w:bottom w:val="single" w:color="002451" w:sz="6" w:space="6"/>
        </w:pBdr>
        <w:spacing w:before="400" w:after="160"/>
      </w:pPr>
      <w:r>
        <w:rPr>
          <w:rFonts w:ascii="Arial" w:cs="Arial" w:eastAsia="Arial" w:hAnsi="Arial"/>
          <w:b/>
          <w:bCs/>
          <w:color w:val="002451"/>
          <w:sz w:val="30"/>
          <w:szCs w:val="30"/>
        </w:rPr>
        <w:t xml:space="preserve">5.  Sicherheit: Ebenen und Zustaendigkeiten</w:t>
      </w:r>
    </w:p>
    <w:p>
      <w:pPr>
        <w:spacing w:before="60" w:after="80"/>
      </w:pPr>
      <w:r>
        <w:rPr>
          <w:rFonts w:ascii="Arial" w:cs="Arial" w:eastAsia="Arial" w:hAnsi="Arial"/>
          <w:color w:val="555555"/>
          <w:sz w:val="21"/>
          <w:szCs w:val="21"/>
        </w:rPr>
        <w:t xml:space="preserve">Cybersicherheit ist kein einzelner Schalter sondern ein Schichtenmodell. Jede Ebene schutzt gegen andere Angriffsarten. Die folgende Tabelle zeigt den Schutzstand je Stufe. Ampelfarben: Gruen = ausreichend, Gelb = Nacharbeit noetig, Orange = erhebliches Risiko.</w:t>
      </w:r>
    </w:p>
    <w:p>
      <w:pPr>
        <w:spacing w:before="0"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2638"/>
      </w:tblGrid>
      <w:tr>
        <w:trPr>
          <w:tblHeader/>
        </w:trPr>
        <w:tc>
          <w:tcPr>
            <w:tcW w:type="dxa" w:w="22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Sicherheitsebene</w:t>
            </w:r>
          </w:p>
        </w:tc>
        <w:tc>
          <w:tcPr>
            <w:tcW w:type="dxa" w:w="12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Stufe 0
Vercel/Supabase</w:t>
            </w:r>
          </w:p>
        </w:tc>
        <w:tc>
          <w:tcPr>
            <w:tcW w:type="dxa" w:w="12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Stufe 1
Hetzner Start</w:t>
            </w:r>
          </w:p>
        </w:tc>
        <w:tc>
          <w:tcPr>
            <w:tcW w:type="dxa" w:w="12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Stufe 2
Wachstum</w:t>
            </w:r>
          </w:p>
        </w:tc>
        <w:tc>
          <w:tcPr>
            <w:tcW w:type="dxa" w:w="12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Stufe 3+
Professionell</w:t>
            </w:r>
          </w:p>
        </w:tc>
        <w:tc>
          <w:tcPr>
            <w:tcW w:type="dxa" w:w="2638"/>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Bemerkung</w:t>
            </w:r>
          </w:p>
        </w:tc>
      </w:tr>
      <w:tr>
        <w:tc>
          <w:tcPr>
            <w:tcW w:type="dxa" w:w="22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555555"/>
                <w:sz w:val="19"/>
                <w:szCs w:val="19"/>
              </w:rPr>
              <w:t xml:space="preserve">DDoS-Schutz</w:t>
            </w:r>
          </w:p>
        </w:tc>
        <w:tc>
          <w:tcPr>
            <w:tcW w:type="dxa" w:w="12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2E7D32"/>
                <w:sz w:val="18"/>
                <w:szCs w:val="18"/>
              </w:rPr>
              <w:t xml:space="preserve">Niedrig</w:t>
            </w:r>
          </w:p>
        </w:tc>
        <w:tc>
          <w:tcPr>
            <w:tcW w:type="dxa" w:w="12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2E7D32"/>
                <w:sz w:val="18"/>
                <w:szCs w:val="18"/>
              </w:rPr>
              <w:t xml:space="preserve">Niedrig</w:t>
            </w:r>
          </w:p>
        </w:tc>
        <w:tc>
          <w:tcPr>
            <w:tcW w:type="dxa" w:w="1200"/>
            <w:gridSpan w:val="1"/>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B8860B"/>
                <w:sz w:val="18"/>
                <w:szCs w:val="18"/>
              </w:rPr>
              <w:t xml:space="preserve">Mittel</w:t>
            </w:r>
          </w:p>
        </w:tc>
        <w:tc>
          <w:tcPr>
            <w:tcW w:type="dxa" w:w="12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2E7D32"/>
                <w:sz w:val="18"/>
                <w:szCs w:val="18"/>
              </w:rPr>
              <w:t xml:space="preserve">Niedrig</w:t>
            </w:r>
          </w:p>
        </w:tc>
        <w:tc>
          <w:tcPr>
            <w:tcW w:type="dxa" w:w="26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Hetzner: Basic-Schutz inklusive. Ab Stufe 2 Cloudflare (kostenlos-200 EUR/Mon.) vorschalten.</w:t>
            </w:r>
          </w:p>
        </w:tc>
      </w:tr>
      <w:tr>
        <w:tc>
          <w:tcPr>
            <w:tcW w:type="dxa" w:w="22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555555"/>
                <w:sz w:val="19"/>
                <w:szCs w:val="19"/>
              </w:rPr>
              <w:t xml:space="preserve">HTTPS / Verschluesselung</w:t>
            </w:r>
          </w:p>
        </w:tc>
        <w:tc>
          <w:tcPr>
            <w:tcW w:type="dxa" w:w="12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2E7D32"/>
                <w:sz w:val="18"/>
                <w:szCs w:val="18"/>
              </w:rPr>
              <w:t xml:space="preserve">Niedrig</w:t>
            </w:r>
          </w:p>
        </w:tc>
        <w:tc>
          <w:tcPr>
            <w:tcW w:type="dxa" w:w="12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2E7D32"/>
                <w:sz w:val="18"/>
                <w:szCs w:val="18"/>
              </w:rPr>
              <w:t xml:space="preserve">Niedrig</w:t>
            </w:r>
          </w:p>
        </w:tc>
        <w:tc>
          <w:tcPr>
            <w:tcW w:type="dxa" w:w="12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2E7D32"/>
                <w:sz w:val="18"/>
                <w:szCs w:val="18"/>
              </w:rPr>
              <w:t xml:space="preserve">Niedrig</w:t>
            </w:r>
          </w:p>
        </w:tc>
        <w:tc>
          <w:tcPr>
            <w:tcW w:type="dxa" w:w="12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2E7D32"/>
                <w:sz w:val="18"/>
                <w:szCs w:val="18"/>
              </w:rPr>
              <w:t xml:space="preserve">Niedrig</w:t>
            </w:r>
          </w:p>
        </w:tc>
        <w:tc>
          <w:tcPr>
            <w:tcW w:type="dxa" w:w="26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Let's Encrypt SSL kostenlos, ueberall Standard. Kein Unterschied zwischen den Stufen.</w:t>
            </w:r>
          </w:p>
        </w:tc>
      </w:tr>
      <w:tr>
        <w:tc>
          <w:tcPr>
            <w:tcW w:type="dxa" w:w="22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555555"/>
                <w:sz w:val="19"/>
                <w:szCs w:val="19"/>
              </w:rPr>
              <w:t xml:space="preserve">Backup-Strategie (3-2-1)</w:t>
            </w:r>
          </w:p>
        </w:tc>
        <w:tc>
          <w:tcPr>
            <w:tcW w:type="dxa" w:w="12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2E7D32"/>
                <w:sz w:val="18"/>
                <w:szCs w:val="18"/>
              </w:rPr>
              <w:t xml:space="preserve">Niedrig</w:t>
            </w:r>
          </w:p>
        </w:tc>
        <w:tc>
          <w:tcPr>
            <w:tcW w:type="dxa" w:w="1200"/>
            <w:gridSpan w:val="1"/>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B8860B"/>
                <w:sz w:val="18"/>
                <w:szCs w:val="18"/>
              </w:rPr>
              <w:t xml:space="preserve">Mittel</w:t>
            </w:r>
          </w:p>
        </w:tc>
        <w:tc>
          <w:tcPr>
            <w:tcW w:type="dxa" w:w="12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2E7D32"/>
                <w:sz w:val="18"/>
                <w:szCs w:val="18"/>
              </w:rPr>
              <w:t xml:space="preserve">Niedrig</w:t>
            </w:r>
          </w:p>
        </w:tc>
        <w:tc>
          <w:tcPr>
            <w:tcW w:type="dxa" w:w="12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2E7D32"/>
                <w:sz w:val="18"/>
                <w:szCs w:val="18"/>
              </w:rPr>
              <w:t xml:space="preserve">Niedrig</w:t>
            </w:r>
          </w:p>
        </w:tc>
        <w:tc>
          <w:tcPr>
            <w:tcW w:type="dxa" w:w="26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Supabase Pro: automatisch. Hetzner Stufe 1: muss manuell eingerichtet werden. Hetzner Storage Box ab 3 EUR/Mon.</w:t>
            </w:r>
          </w:p>
        </w:tc>
      </w:tr>
      <w:tr>
        <w:tc>
          <w:tcPr>
            <w:tcW w:type="dxa" w:w="22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555555"/>
                <w:sz w:val="19"/>
                <w:szCs w:val="19"/>
              </w:rPr>
              <w:t xml:space="preserve">Zugriffsschutz / MFA</w:t>
            </w:r>
          </w:p>
        </w:tc>
        <w:tc>
          <w:tcPr>
            <w:tcW w:type="dxa" w:w="12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2E7D32"/>
                <w:sz w:val="18"/>
                <w:szCs w:val="18"/>
              </w:rPr>
              <w:t xml:space="preserve">Niedrig</w:t>
            </w:r>
          </w:p>
        </w:tc>
        <w:tc>
          <w:tcPr>
            <w:tcW w:type="dxa" w:w="1200"/>
            <w:gridSpan w:val="1"/>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B8860B"/>
                <w:sz w:val="18"/>
                <w:szCs w:val="18"/>
              </w:rPr>
              <w:t xml:space="preserve">Mittel</w:t>
            </w:r>
          </w:p>
        </w:tc>
        <w:tc>
          <w:tcPr>
            <w:tcW w:type="dxa" w:w="12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2E7D32"/>
                <w:sz w:val="18"/>
                <w:szCs w:val="18"/>
              </w:rPr>
              <w:t xml:space="preserve">Niedrig</w:t>
            </w:r>
          </w:p>
        </w:tc>
        <w:tc>
          <w:tcPr>
            <w:tcW w:type="dxa" w:w="12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2E7D32"/>
                <w:sz w:val="18"/>
                <w:szCs w:val="18"/>
              </w:rPr>
              <w:t xml:space="preserve">Niedrig</w:t>
            </w:r>
          </w:p>
        </w:tc>
        <w:tc>
          <w:tcPr>
            <w:tcW w:type="dxa" w:w="26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SSH-Keys statt Passwoerter, kein Root-Login. Bei Hetzner Stufe 1 muss das aktiv konfiguriert werden.</w:t>
            </w:r>
          </w:p>
        </w:tc>
      </w:tr>
      <w:tr>
        <w:tc>
          <w:tcPr>
            <w:tcW w:type="dxa" w:w="22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555555"/>
                <w:sz w:val="19"/>
                <w:szCs w:val="19"/>
              </w:rPr>
              <w:t xml:space="preserve">Web Application Firewall</w:t>
            </w:r>
          </w:p>
        </w:tc>
        <w:tc>
          <w:tcPr>
            <w:tcW w:type="dxa" w:w="12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2E7D32"/>
                <w:sz w:val="18"/>
                <w:szCs w:val="18"/>
              </w:rPr>
              <w:t xml:space="preserve">Niedrig</w:t>
            </w:r>
          </w:p>
        </w:tc>
        <w:tc>
          <w:tcPr>
            <w:tcW w:type="dxa" w:w="1200"/>
            <w:gridSpan w:val="1"/>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B8860B"/>
                <w:sz w:val="18"/>
                <w:szCs w:val="18"/>
              </w:rPr>
              <w:t xml:space="preserve">Mittel</w:t>
            </w:r>
          </w:p>
        </w:tc>
        <w:tc>
          <w:tcPr>
            <w:tcW w:type="dxa" w:w="12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2E7D32"/>
                <w:sz w:val="18"/>
                <w:szCs w:val="18"/>
              </w:rPr>
              <w:t xml:space="preserve">Niedrig</w:t>
            </w:r>
          </w:p>
        </w:tc>
        <w:tc>
          <w:tcPr>
            <w:tcW w:type="dxa" w:w="12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2E7D32"/>
                <w:sz w:val="18"/>
                <w:szCs w:val="18"/>
              </w:rPr>
              <w:t xml:space="preserve">Niedrig</w:t>
            </w:r>
          </w:p>
        </w:tc>
        <w:tc>
          <w:tcPr>
            <w:tcW w:type="dxa" w:w="26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Vercel: integriert. Hetzner Stufe 1: fehlt. Ab Stufe 2 via Cloudflare nachruestbar (kostenlos-200 EUR/Mon.).</w:t>
            </w:r>
          </w:p>
        </w:tc>
      </w:tr>
      <w:tr>
        <w:tc>
          <w:tcPr>
            <w:tcW w:type="dxa" w:w="22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555555"/>
                <w:sz w:val="19"/>
                <w:szCs w:val="19"/>
              </w:rPr>
              <w:t xml:space="preserve">Patch Management</w:t>
            </w:r>
          </w:p>
        </w:tc>
        <w:tc>
          <w:tcPr>
            <w:tcW w:type="dxa" w:w="12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2E7D32"/>
                <w:sz w:val="18"/>
                <w:szCs w:val="18"/>
              </w:rPr>
              <w:t xml:space="preserve">Niedrig</w:t>
            </w:r>
          </w:p>
        </w:tc>
        <w:tc>
          <w:tcPr>
            <w:tcW w:type="dxa" w:w="1200"/>
            <w:gridSpan w:val="1"/>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E65100"/>
                <w:sz w:val="18"/>
                <w:szCs w:val="18"/>
              </w:rPr>
              <w:t xml:space="preserve">Hoch</w:t>
            </w:r>
          </w:p>
        </w:tc>
        <w:tc>
          <w:tcPr>
            <w:tcW w:type="dxa" w:w="1200"/>
            <w:gridSpan w:val="1"/>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B8860B"/>
                <w:sz w:val="18"/>
                <w:szCs w:val="18"/>
              </w:rPr>
              <w:t xml:space="preserve">Mittel</w:t>
            </w:r>
          </w:p>
        </w:tc>
        <w:tc>
          <w:tcPr>
            <w:tcW w:type="dxa" w:w="12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2E7D32"/>
                <w:sz w:val="18"/>
                <w:szCs w:val="18"/>
              </w:rPr>
              <w:t xml:space="preserve">Niedrig</w:t>
            </w:r>
          </w:p>
        </w:tc>
        <w:tc>
          <w:tcPr>
            <w:tcW w:type="dxa" w:w="26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Groesster Unterschied zu Cloud-Diensten. Bei Eigenhosting volle eigene Verantwortung. Automatisierung moeglich aber aufwendig.</w:t>
            </w:r>
          </w:p>
        </w:tc>
      </w:tr>
      <w:tr>
        <w:tc>
          <w:tcPr>
            <w:tcW w:type="dxa" w:w="22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555555"/>
                <w:sz w:val="19"/>
                <w:szCs w:val="19"/>
              </w:rPr>
              <w:t xml:space="preserve">DSGVO-Dokumentation</w:t>
            </w:r>
          </w:p>
        </w:tc>
        <w:tc>
          <w:tcPr>
            <w:tcW w:type="dxa" w:w="1200"/>
            <w:gridSpan w:val="1"/>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B8860B"/>
                <w:sz w:val="18"/>
                <w:szCs w:val="18"/>
              </w:rPr>
              <w:t xml:space="preserve">Mittel</w:t>
            </w:r>
          </w:p>
        </w:tc>
        <w:tc>
          <w:tcPr>
            <w:tcW w:type="dxa" w:w="12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2E7D32"/>
                <w:sz w:val="18"/>
                <w:szCs w:val="18"/>
              </w:rPr>
              <w:t xml:space="preserve">Niedrig</w:t>
            </w:r>
          </w:p>
        </w:tc>
        <w:tc>
          <w:tcPr>
            <w:tcW w:type="dxa" w:w="12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2E7D32"/>
                <w:sz w:val="18"/>
                <w:szCs w:val="18"/>
              </w:rPr>
              <w:t xml:space="preserve">Niedrig</w:t>
            </w:r>
          </w:p>
        </w:tc>
        <w:tc>
          <w:tcPr>
            <w:tcW w:type="dxa" w:w="12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2E7D32"/>
                <w:sz w:val="18"/>
                <w:szCs w:val="18"/>
              </w:rPr>
              <w:t xml:space="preserve">Niedrig</w:t>
            </w:r>
          </w:p>
        </w:tc>
        <w:tc>
          <w:tcPr>
            <w:tcW w:type="dxa" w:w="26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Hetzner: deutsches Unternehmen, staerkstes DSGVO-Profil. Vercel/Supabase: US-Konzerne, AVV vorhanden aber Schrems-II-Risiko.</w:t>
            </w:r>
          </w:p>
        </w:tc>
      </w:tr>
    </w:tbl>
    <w:p>
      <w:pPr>
        <w:spacing w:before="0" w:after="120"/>
      </w:pPr>
      <w:r>
        <w:t xml:space="preserve"/>
      </w:r>
    </w:p>
    <w:p>
      <w:pPr>
        <w:pStyle w:val="Heading2"/>
        <w:spacing w:before="280" w:after="100"/>
      </w:pPr>
      <w:r>
        <w:rPr>
          <w:rFonts w:ascii="Arial" w:cs="Arial" w:eastAsia="Arial" w:hAnsi="Arial"/>
          <w:b/>
          <w:bCs/>
          <w:color w:val="1A4080"/>
          <w:sz w:val="24"/>
          <w:szCs w:val="24"/>
        </w:rPr>
        <w:t xml:space="preserve">5.1  Bedrohungslage in der Praxis</w:t>
      </w:r>
    </w:p>
    <w:p>
      <w:pPr>
        <w:spacing w:before="60" w:after="80"/>
      </w:pPr>
      <w:r>
        <w:rPr>
          <w:rFonts w:ascii="Arial" w:cs="Arial" w:eastAsia="Arial" w:hAnsi="Arial"/>
          <w:color w:val="555555"/>
          <w:sz w:val="21"/>
          <w:szCs w:val="21"/>
        </w:rPr>
        <w:t xml:space="preserve">Fuer eine SaaS-Plattform im deutschen Foerderberatungsumfeld sind die realistischen Bedrohungsszenarien:</w:t>
      </w:r>
    </w:p>
    <w:p>
      <w:pPr>
        <w:spacing w:before="0"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838"/>
      </w:tblGrid>
      <w:tr>
        <w:trPr>
          <w:tblHeader/>
        </w:trPr>
        <w:tc>
          <w:tcPr>
            <w:tcW w:type="dxa" w:w="30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Bedrohung</w:t>
            </w:r>
          </w:p>
        </w:tc>
        <w:tc>
          <w:tcPr>
            <w:tcW w:type="dxa" w:w="18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Wahrscheinlichkeit</w:t>
            </w:r>
          </w:p>
        </w:tc>
        <w:tc>
          <w:tcPr>
            <w:tcW w:type="dxa" w:w="4838"/>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Massnahme</w:t>
            </w:r>
          </w:p>
        </w:tc>
      </w:tr>
      <w:tr>
        <w:tc>
          <w:tcPr>
            <w:tcW w:type="dxa" w:w="30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555555"/>
                <w:sz w:val="19"/>
                <w:szCs w:val="19"/>
              </w:rPr>
              <w:t xml:space="preserve">Automatisierte Angriffe (Bots, Brute Force)</w:t>
            </w:r>
          </w:p>
        </w:tc>
        <w:tc>
          <w:tcPr>
            <w:tcW w:type="dxa" w:w="1800"/>
            <w:gridSpan w:val="1"/>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B8860B"/>
                <w:sz w:val="19"/>
                <w:szCs w:val="19"/>
              </w:rPr>
              <w:t xml:space="preserve">Hoch - treffen alle Webserver</w:t>
            </w:r>
          </w:p>
        </w:tc>
        <w:tc>
          <w:tcPr>
            <w:tcW w:type="dxa" w:w="48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Firewall, Rate-Limiting, MFA fuer Admins - ab Stufe 1 noetig</w:t>
            </w:r>
          </w:p>
        </w:tc>
      </w:tr>
      <w:tr>
        <w:tc>
          <w:tcPr>
            <w:tcW w:type="dxa" w:w="30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555555"/>
                <w:sz w:val="19"/>
                <w:szCs w:val="19"/>
              </w:rPr>
              <w:t xml:space="preserve">Ransomware (Datenverschluesselung)</w:t>
            </w:r>
          </w:p>
        </w:tc>
        <w:tc>
          <w:tcPr>
            <w:tcW w:type="dxa" w:w="1800"/>
            <w:gridSpan w:val="1"/>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B8860B"/>
                <w:sz w:val="19"/>
                <w:szCs w:val="19"/>
              </w:rPr>
              <w:t xml:space="preserve">Mittel - KMU zunehmend Ziel</w:t>
            </w:r>
          </w:p>
        </w:tc>
        <w:tc>
          <w:tcPr>
            <w:tcW w:type="dxa" w:w="48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3-2-1-Backup mit Air-Gap (Offline-Kopie) - ab Stufe 1 Pflicht</w:t>
            </w:r>
          </w:p>
        </w:tc>
      </w:tr>
      <w:tr>
        <w:tc>
          <w:tcPr>
            <w:tcW w:type="dxa" w:w="30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555555"/>
                <w:sz w:val="19"/>
                <w:szCs w:val="19"/>
              </w:rPr>
              <w:t xml:space="preserve">DDoS-Angriff auf den Server</w:t>
            </w:r>
          </w:p>
        </w:tc>
        <w:tc>
          <w:tcPr>
            <w:tcW w:type="dxa" w:w="18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2E7D32"/>
                <w:sz w:val="19"/>
                <w:szCs w:val="19"/>
              </w:rPr>
              <w:t xml:space="preserve">Niedrig bei kleiner Plattform</w:t>
            </w:r>
          </w:p>
        </w:tc>
        <w:tc>
          <w:tcPr>
            <w:tcW w:type="dxa" w:w="48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Hetzner-Basisschutz genuegt fuer Stufe 1. Cloudflare ab Stufe 2.</w:t>
            </w:r>
          </w:p>
        </w:tc>
      </w:tr>
      <w:tr>
        <w:tc>
          <w:tcPr>
            <w:tcW w:type="dxa" w:w="30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555555"/>
                <w:sz w:val="19"/>
                <w:szCs w:val="19"/>
              </w:rPr>
              <w:t xml:space="preserve">Kompromittiertes Admin-Konto (Phishing)</w:t>
            </w:r>
          </w:p>
        </w:tc>
        <w:tc>
          <w:tcPr>
            <w:tcW w:type="dxa" w:w="1800"/>
            <w:gridSpan w:val="1"/>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B8860B"/>
                <w:sz w:val="19"/>
                <w:szCs w:val="19"/>
              </w:rPr>
              <w:t xml:space="preserve">Mittel - haeufigster Einstiegspunkt</w:t>
            </w:r>
          </w:p>
        </w:tc>
        <w:tc>
          <w:tcPr>
            <w:tcW w:type="dxa" w:w="48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MFA fuer alle Admin-Zugaenge, starke SSH-Keys, kein Root-Login</w:t>
            </w:r>
          </w:p>
        </w:tc>
      </w:tr>
      <w:tr>
        <w:tc>
          <w:tcPr>
            <w:tcW w:type="dxa" w:w="30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555555"/>
                <w:sz w:val="19"/>
                <w:szCs w:val="19"/>
              </w:rPr>
              <w:t xml:space="preserve">Datenpanne durch Softwarefehler (SQL-Injection)</w:t>
            </w:r>
          </w:p>
        </w:tc>
        <w:tc>
          <w:tcPr>
            <w:tcW w:type="dxa" w:w="18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2E7D32"/>
                <w:sz w:val="19"/>
                <w:szCs w:val="19"/>
              </w:rPr>
              <w:t xml:space="preserve">Niedrig - Next.js/Supabase gut abgesichert</w:t>
            </w:r>
          </w:p>
        </w:tc>
        <w:tc>
          <w:tcPr>
            <w:tcW w:type="dxa" w:w="48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Supabase Row-Level-Security ist bereits implementiert. WAF als Zusatzschutz.</w:t>
            </w:r>
          </w:p>
        </w:tc>
      </w:tr>
    </w:tbl>
    <w:p>
      <w:pPr>
        <w:spacing w:before="0" w:after="120"/>
      </w:pPr>
      <w:r>
        <w:t xml:space="preserve"/>
      </w:r>
    </w:p>
    <w:p>
      <w:pPr>
        <w:pBdr>
          <w:left w:val="single" w:color="B8860B" w:sz="16"/>
        </w:pBdr>
        <w:shd w:fill="FFF8DC" w:val="clear"/>
        <w:spacing w:before="160" w:after="160"/>
        <w:ind w:left="200" w:right="200"/>
      </w:pPr>
      <w:r>
        <w:rPr>
          <w:rFonts w:ascii="Arial" w:cs="Arial" w:eastAsia="Arial" w:hAnsi="Arial"/>
          <w:i/>
          <w:iCs/>
          <w:color w:val="333333"/>
          <w:sz w:val="20"/>
          <w:szCs w:val="20"/>
        </w:rPr>
        <w:t xml:space="preserve">NIS2-Hinweis: Seit Oktober 2024 gilt die EU-NIS2-Richtlinie. Als IT-Dienstleister fuer Unternehmen mit FuE-Foerdermitteln koennt ihr in den Anwendungsbereich geraten. Mindestanforderungen: MFA, dokumentierte Backups, Patch Management, Notfallplan, 24h-Meldepflicht bei Datenpannen. Das sollte bei der Infrastrukturplanung bereits beruecksichtigt werden.</w:t>
      </w:r>
    </w:p>
    <w:p>
      <w:pPr>
        <w:spacing w:before="0" w:after="120"/>
      </w:pPr>
      <w:r>
        <w:t xml:space="preserve"/>
      </w:r>
    </w:p>
    <w:p>
      <w:pPr>
        <w:pStyle w:val="Heading1"/>
        <w:pBdr>
          <w:bottom w:val="single" w:color="002451" w:sz="6" w:space="6"/>
        </w:pBdr>
        <w:spacing w:before="400" w:after="160"/>
      </w:pPr>
      <w:r>
        <w:rPr>
          <w:rFonts w:ascii="Arial" w:cs="Arial" w:eastAsia="Arial" w:hAnsi="Arial"/>
          <w:b/>
          <w:bCs/>
          <w:color w:val="002451"/>
          <w:sz w:val="30"/>
          <w:szCs w:val="30"/>
        </w:rPr>
        <w:t xml:space="preserve">6.  Migration von Vercel/Supabase zu Hetzner</w:t>
      </w:r>
    </w:p>
    <w:p>
      <w:pPr>
        <w:spacing w:before="60" w:after="80"/>
      </w:pPr>
      <w:r>
        <w:rPr>
          <w:rFonts w:ascii="Arial" w:cs="Arial" w:eastAsia="Arial" w:hAnsi="Arial"/>
          <w:color w:val="555555"/>
          <w:sz w:val="21"/>
          <w:szCs w:val="21"/>
        </w:rPr>
        <w:t xml:space="preserve">Die Migration ist technisch gut planbar. Der groesste Aufwand ist der Ersatz des Supabase-Authentifizierungssystems, das tief in PZE integriert ist (Sitzungsverwaltung, Rollen, Row-Level-Security in der Datenbank).</w:t>
      </w:r>
    </w:p>
    <w:p>
      <w:pPr>
        <w:spacing w:before="0"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438"/>
      </w:tblGrid>
      <w:tr>
        <w:trPr>
          <w:tblHeader/>
        </w:trPr>
        <w:tc>
          <w:tcPr>
            <w:tcW w:type="dxa" w:w="30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Aufgabe</w:t>
            </w:r>
          </w:p>
        </w:tc>
        <w:tc>
          <w:tcPr>
            <w:tcW w:type="dxa" w:w="16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Aufwand</w:t>
            </w:r>
          </w:p>
        </w:tc>
        <w:tc>
          <w:tcPr>
            <w:tcW w:type="dxa" w:w="16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Typ</w:t>
            </w:r>
          </w:p>
        </w:tc>
        <w:tc>
          <w:tcPr>
            <w:tcW w:type="dxa" w:w="3438"/>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Hinweis</w:t>
            </w:r>
          </w:p>
        </w:tc>
      </w:tr>
      <w:tr>
        <w:tc>
          <w:tcPr>
            <w:tcW w:type="dxa" w:w="30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Linux-Server aufsetzen (Nginx, SSL, Firewall)</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center"/>
            </w:pPr>
            <w:r>
              <w:rPr>
                <w:rFonts w:ascii="Arial" w:cs="Arial" w:eastAsia="Arial" w:hAnsi="Arial"/>
                <w:b w:val="false"/>
                <w:bCs w:val="false"/>
                <w:i w:val="false"/>
                <w:iCs w:val="false"/>
                <w:color w:val="555555"/>
                <w:sz w:val="19"/>
                <w:szCs w:val="19"/>
              </w:rPr>
              <w:t xml:space="preserve">4-8 h</w:t>
            </w:r>
          </w:p>
        </w:tc>
        <w:tc>
          <w:tcPr>
            <w:tcW w:type="dxa" w:w="16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0" w:after="0"/>
              <w:jc w:val="center"/>
            </w:pPr>
            <w:r>
              <w:rPr>
                <w:rFonts w:ascii="Arial" w:cs="Arial" w:eastAsia="Arial" w:hAnsi="Arial"/>
                <w:b w:val="false"/>
                <w:bCs w:val="false"/>
                <w:i w:val="false"/>
                <w:iCs w:val="false"/>
                <w:color w:val="555555"/>
                <w:sz w:val="19"/>
                <w:szCs w:val="19"/>
              </w:rPr>
              <w:t xml:space="preserve">Einmalig</w:t>
            </w:r>
          </w:p>
        </w:tc>
        <w:tc>
          <w:tcPr>
            <w:tcW w:type="dxa" w:w="34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Gut dokumentierbar. Scripts wiederverwendbar.</w:t>
            </w:r>
          </w:p>
        </w:tc>
      </w:tr>
      <w:tr>
        <w:tc>
          <w:tcPr>
            <w:tcW w:type="dxa" w:w="30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PostgreSQL + Datenmigration</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center"/>
            </w:pPr>
            <w:r>
              <w:rPr>
                <w:rFonts w:ascii="Arial" w:cs="Arial" w:eastAsia="Arial" w:hAnsi="Arial"/>
                <w:b w:val="false"/>
                <w:bCs w:val="false"/>
                <w:i w:val="false"/>
                <w:iCs w:val="false"/>
                <w:color w:val="555555"/>
                <w:sz w:val="19"/>
                <w:szCs w:val="19"/>
              </w:rPr>
              <w:t xml:space="preserve">2-4 h</w:t>
            </w:r>
          </w:p>
        </w:tc>
        <w:tc>
          <w:tcPr>
            <w:tcW w:type="dxa" w:w="16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0" w:after="0"/>
              <w:jc w:val="center"/>
            </w:pPr>
            <w:r>
              <w:rPr>
                <w:rFonts w:ascii="Arial" w:cs="Arial" w:eastAsia="Arial" w:hAnsi="Arial"/>
                <w:b w:val="false"/>
                <w:bCs w:val="false"/>
                <w:i w:val="false"/>
                <w:iCs w:val="false"/>
                <w:color w:val="555555"/>
                <w:sz w:val="19"/>
                <w:szCs w:val="19"/>
              </w:rPr>
              <w:t xml:space="preserve">Einmalig</w:t>
            </w:r>
          </w:p>
        </w:tc>
        <w:tc>
          <w:tcPr>
            <w:tcW w:type="dxa" w:w="34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Supabase Export -&gt; eigene Instanz. Gut machbar.</w:t>
            </w:r>
          </w:p>
        </w:tc>
      </w:tr>
      <w:tr>
        <w:tc>
          <w:tcPr>
            <w:tcW w:type="dxa" w:w="3000"/>
            <w:gridSpan w:val="1"/>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Supabase Auth ersetzen (NextAuth.js o.ae.)</w:t>
            </w:r>
          </w:p>
        </w:tc>
        <w:tc>
          <w:tcPr>
            <w:tcW w:type="dxa" w:w="1600"/>
            <w:gridSpan w:val="1"/>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B8860B"/>
                <w:sz w:val="19"/>
                <w:szCs w:val="19"/>
              </w:rPr>
              <w:t xml:space="preserve">20-40 h</w:t>
            </w:r>
          </w:p>
        </w:tc>
        <w:tc>
          <w:tcPr>
            <w:tcW w:type="dxa" w:w="16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0" w:after="0"/>
              <w:jc w:val="center"/>
            </w:pPr>
            <w:r>
              <w:rPr>
                <w:rFonts w:ascii="Arial" w:cs="Arial" w:eastAsia="Arial" w:hAnsi="Arial"/>
                <w:b w:val="false"/>
                <w:bCs w:val="false"/>
                <w:i w:val="false"/>
                <w:iCs w:val="false"/>
                <w:color w:val="555555"/>
                <w:sz w:val="19"/>
                <w:szCs w:val="19"/>
              </w:rPr>
              <w:t xml:space="preserve">Einmalig</w:t>
            </w:r>
          </w:p>
        </w:tc>
        <w:tc>
          <w:tcPr>
            <w:tcW w:type="dxa" w:w="34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Groesster Brocken. Auth ist tief in PZE integriert (Sitzungen, Rollen, Row-Level-Security). Sorgfaeltig testen.</w:t>
            </w:r>
          </w:p>
        </w:tc>
      </w:tr>
      <w:tr>
        <w:tc>
          <w:tcPr>
            <w:tcW w:type="dxa" w:w="30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CI/CD Deployment Pipeline</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center"/>
            </w:pPr>
            <w:r>
              <w:rPr>
                <w:rFonts w:ascii="Arial" w:cs="Arial" w:eastAsia="Arial" w:hAnsi="Arial"/>
                <w:b w:val="false"/>
                <w:bCs w:val="false"/>
                <w:i w:val="false"/>
                <w:iCs w:val="false"/>
                <w:color w:val="555555"/>
                <w:sz w:val="19"/>
                <w:szCs w:val="19"/>
              </w:rPr>
              <w:t xml:space="preserve">4-8 h</w:t>
            </w:r>
          </w:p>
        </w:tc>
        <w:tc>
          <w:tcPr>
            <w:tcW w:type="dxa" w:w="16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0" w:after="0"/>
              <w:jc w:val="center"/>
            </w:pPr>
            <w:r>
              <w:rPr>
                <w:rFonts w:ascii="Arial" w:cs="Arial" w:eastAsia="Arial" w:hAnsi="Arial"/>
                <w:b w:val="false"/>
                <w:bCs w:val="false"/>
                <w:i w:val="false"/>
                <w:iCs w:val="false"/>
                <w:color w:val="555555"/>
                <w:sz w:val="19"/>
                <w:szCs w:val="19"/>
              </w:rPr>
              <w:t xml:space="preserve">Einmalig</w:t>
            </w:r>
          </w:p>
        </w:tc>
        <w:tc>
          <w:tcPr>
            <w:tcW w:type="dxa" w:w="34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GitHub Actions -&gt; automatischer Deploy auf Hetzner. Vercel-Komfort nachbauen.</w:t>
            </w:r>
          </w:p>
        </w:tc>
      </w:tr>
      <w:tr>
        <w:tc>
          <w:tcPr>
            <w:tcW w:type="dxa" w:w="30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Backup-Automatisierung einrichten</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center"/>
            </w:pPr>
            <w:r>
              <w:rPr>
                <w:rFonts w:ascii="Arial" w:cs="Arial" w:eastAsia="Arial" w:hAnsi="Arial"/>
                <w:b w:val="false"/>
                <w:bCs w:val="false"/>
                <w:i w:val="false"/>
                <w:iCs w:val="false"/>
                <w:color w:val="555555"/>
                <w:sz w:val="19"/>
                <w:szCs w:val="19"/>
              </w:rPr>
              <w:t xml:space="preserve">2-4 h</w:t>
            </w:r>
          </w:p>
        </w:tc>
        <w:tc>
          <w:tcPr>
            <w:tcW w:type="dxa" w:w="16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0" w:after="0"/>
              <w:jc w:val="center"/>
            </w:pPr>
            <w:r>
              <w:rPr>
                <w:rFonts w:ascii="Arial" w:cs="Arial" w:eastAsia="Arial" w:hAnsi="Arial"/>
                <w:b w:val="false"/>
                <w:bCs w:val="false"/>
                <w:i w:val="false"/>
                <w:iCs w:val="false"/>
                <w:color w:val="555555"/>
                <w:sz w:val="19"/>
                <w:szCs w:val="19"/>
              </w:rPr>
              <w:t xml:space="preserve">Einmalig</w:t>
            </w:r>
          </w:p>
        </w:tc>
        <w:tc>
          <w:tcPr>
            <w:tcW w:type="dxa" w:w="34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Cronjob + pg_dump + Hetzner Storage Box + Verschluesselung.</w:t>
            </w:r>
          </w:p>
        </w:tc>
      </w:tr>
      <w:tr>
        <w:tc>
          <w:tcPr>
            <w:tcW w:type="dxa" w:w="30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Monitoring einrichten (Uptime Robot / Grafana)</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center"/>
            </w:pPr>
            <w:r>
              <w:rPr>
                <w:rFonts w:ascii="Arial" w:cs="Arial" w:eastAsia="Arial" w:hAnsi="Arial"/>
                <w:b w:val="false"/>
                <w:bCs w:val="false"/>
                <w:i w:val="false"/>
                <w:iCs w:val="false"/>
                <w:color w:val="555555"/>
                <w:sz w:val="19"/>
                <w:szCs w:val="19"/>
              </w:rPr>
              <w:t xml:space="preserve">3-5 h</w:t>
            </w:r>
          </w:p>
        </w:tc>
        <w:tc>
          <w:tcPr>
            <w:tcW w:type="dxa" w:w="16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0" w:after="0"/>
              <w:jc w:val="center"/>
            </w:pPr>
            <w:r>
              <w:rPr>
                <w:rFonts w:ascii="Arial" w:cs="Arial" w:eastAsia="Arial" w:hAnsi="Arial"/>
                <w:b w:val="false"/>
                <w:bCs w:val="false"/>
                <w:i w:val="false"/>
                <w:iCs w:val="false"/>
                <w:color w:val="555555"/>
                <w:sz w:val="19"/>
                <w:szCs w:val="19"/>
              </w:rPr>
              <w:t xml:space="preserve">Einmalig</w:t>
            </w:r>
          </w:p>
        </w:tc>
        <w:tc>
          <w:tcPr>
            <w:tcW w:type="dxa" w:w="34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Benachrichtigung bei Ausfall, Ressourcen-Dashboard. Grundlage fuer professionellen Betrieb.</w:t>
            </w:r>
          </w:p>
        </w:tc>
      </w:tr>
      <w:tr>
        <w:tc>
          <w:tcPr>
            <w:tcW w:type="dxa" w:w="30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Test, Abnahme, Parallelbetrieb</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center"/>
            </w:pPr>
            <w:r>
              <w:rPr>
                <w:rFonts w:ascii="Arial" w:cs="Arial" w:eastAsia="Arial" w:hAnsi="Arial"/>
                <w:b w:val="false"/>
                <w:bCs w:val="false"/>
                <w:i w:val="false"/>
                <w:iCs w:val="false"/>
                <w:color w:val="555555"/>
                <w:sz w:val="19"/>
                <w:szCs w:val="19"/>
              </w:rPr>
              <w:t xml:space="preserve">8-16 h</w:t>
            </w:r>
          </w:p>
        </w:tc>
        <w:tc>
          <w:tcPr>
            <w:tcW w:type="dxa" w:w="16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0" w:after="0"/>
              <w:jc w:val="center"/>
            </w:pPr>
            <w:r>
              <w:rPr>
                <w:rFonts w:ascii="Arial" w:cs="Arial" w:eastAsia="Arial" w:hAnsi="Arial"/>
                <w:b w:val="false"/>
                <w:bCs w:val="false"/>
                <w:i w:val="false"/>
                <w:iCs w:val="false"/>
                <w:color w:val="555555"/>
                <w:sz w:val="19"/>
                <w:szCs w:val="19"/>
              </w:rPr>
              <w:t xml:space="preserve">Einmalig</w:t>
            </w:r>
          </w:p>
        </w:tc>
        <w:tc>
          <w:tcPr>
            <w:tcW w:type="dxa" w:w="34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Beide Systeme 2-4 Wochen parallel betreiben, schrittweise Kunden umziehen.</w:t>
            </w:r>
          </w:p>
        </w:tc>
      </w:tr>
      <w:tr>
        <w:tc>
          <w:tcPr>
            <w:tcW w:type="dxa" w:w="30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GESAMTAUFWAND (einmalig)</w:t>
            </w:r>
          </w:p>
        </w:tc>
        <w:tc>
          <w:tcPr>
            <w:tcW w:type="dxa" w:w="1600"/>
            <w:gridSpan w:val="1"/>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B8860B"/>
                <w:sz w:val="19"/>
                <w:szCs w:val="19"/>
              </w:rPr>
              <w:t xml:space="preserve">43-85 h</w:t>
            </w:r>
          </w:p>
        </w:tc>
        <w:tc>
          <w:tcPr>
            <w:tcW w:type="dxa" w:w="16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555555"/>
                <w:sz w:val="19"/>
                <w:szCs w:val="19"/>
              </w:rPr>
              <w:t xml:space="preserve">Einmalig</w:t>
            </w:r>
          </w:p>
        </w:tc>
        <w:tc>
          <w:tcPr>
            <w:tcW w:type="dxa" w:w="3438"/>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Externer DevOps-Freelancer: ca. 80-120 EUR/h = 3.400 bis 10.000 EUR. Danach: 2-4 h/Monat laufend.</w:t>
            </w:r>
          </w:p>
        </w:tc>
      </w:tr>
    </w:tbl>
    <w:p>
      <w:pPr>
        <w:spacing w:before="0" w:after="120"/>
      </w:pPr>
      <w:r>
        <w:t xml:space="preserve"/>
      </w:r>
    </w:p>
    <w:p>
      <w:pPr>
        <w:spacing w:before="60" w:after="80"/>
      </w:pPr>
      <w:r>
        <w:rPr>
          <w:rFonts w:ascii="Arial" w:cs="Arial" w:eastAsia="Arial" w:hAnsi="Arial"/>
          <w:color w:val="555555"/>
          <w:sz w:val="21"/>
          <w:szCs w:val="21"/>
        </w:rPr>
        <w:t xml:space="preserve">Empfohlene Vorgehensweise fuer die Migration:</w:t>
      </w:r>
    </w:p>
    <w:p>
      <w:pPr>
        <w:pStyle w:val="ListParagraph"/>
        <w:numPr>
          <w:ilvl w:val="0"/>
          <w:numId w:val="2"/>
        </w:numPr>
        <w:spacing w:before="40" w:after="40"/>
      </w:pPr>
      <w:r>
        <w:rPr>
          <w:rFonts w:ascii="Arial" w:cs="Arial" w:eastAsia="Arial" w:hAnsi="Arial"/>
          <w:color w:val="555555"/>
          <w:sz w:val="20"/>
          <w:szCs w:val="20"/>
        </w:rPr>
        <w:t xml:space="preserve">Parallelbetrieb: Neues System aufbauen waehrend das alte laeuft - kein Big-Bang-Wechsel</w:t>
      </w:r>
    </w:p>
    <w:p>
      <w:pPr>
        <w:pStyle w:val="ListParagraph"/>
        <w:numPr>
          <w:ilvl w:val="0"/>
          <w:numId w:val="2"/>
        </w:numPr>
        <w:spacing w:before="40" w:after="40"/>
      </w:pPr>
      <w:r>
        <w:rPr>
          <w:rFonts w:ascii="Arial" w:cs="Arial" w:eastAsia="Arial" w:hAnsi="Arial"/>
          <w:color w:val="555555"/>
          <w:sz w:val="20"/>
          <w:szCs w:val="20"/>
        </w:rPr>
        <w:t xml:space="preserve">Testkunden zuerst umziehen, 2-4 Wochen beobachten, dann Schritt fuer Schritt alle Kunden</w:t>
      </w:r>
    </w:p>
    <w:p>
      <w:pPr>
        <w:pStyle w:val="ListParagraph"/>
        <w:numPr>
          <w:ilvl w:val="0"/>
          <w:numId w:val="2"/>
        </w:numPr>
        <w:spacing w:before="40" w:after="40"/>
      </w:pPr>
      <w:r>
        <w:rPr>
          <w:rFonts w:ascii="Arial" w:cs="Arial" w:eastAsia="Arial" w:hAnsi="Arial"/>
          <w:color w:val="555555"/>
          <w:sz w:val="20"/>
          <w:szCs w:val="20"/>
        </w:rPr>
        <w:t xml:space="preserve">Auth-Ersatz als eigenstaendiges Projekt behandeln - mit eigenem Testumfang</w:t>
      </w:r>
    </w:p>
    <w:p>
      <w:pPr>
        <w:pStyle w:val="ListParagraph"/>
        <w:numPr>
          <w:ilvl w:val="0"/>
          <w:numId w:val="2"/>
        </w:numPr>
        <w:spacing w:before="40" w:after="40"/>
      </w:pPr>
      <w:r>
        <w:rPr>
          <w:rFonts w:ascii="Arial" w:cs="Arial" w:eastAsia="Arial" w:hAnsi="Arial"/>
          <w:color w:val="555555"/>
          <w:sz w:val="20"/>
          <w:szCs w:val="20"/>
        </w:rPr>
        <w:t xml:space="preserve">Migration mit einem DevOps-Spezialisten durchfuehren der bereits Erfahrung mit diesem Stack hat</w:t>
      </w:r>
    </w:p>
    <w:p>
      <w:pPr>
        <w:spacing w:before="0" w:after="120"/>
      </w:pPr>
      <w:r>
        <w:t xml:space="preserve"/>
      </w:r>
    </w:p>
    <w:p>
      <w:pPr>
        <w:pStyle w:val="Heading1"/>
        <w:pBdr>
          <w:bottom w:val="single" w:color="002451" w:sz="6" w:space="6"/>
        </w:pBdr>
        <w:spacing w:before="400" w:after="160"/>
      </w:pPr>
      <w:r>
        <w:rPr>
          <w:rFonts w:ascii="Arial" w:cs="Arial" w:eastAsia="Arial" w:hAnsi="Arial"/>
          <w:b/>
          <w:bCs/>
          <w:color w:val="002451"/>
          <w:sz w:val="30"/>
          <w:szCs w:val="30"/>
        </w:rPr>
        <w:t xml:space="preserve">7.  Empfohlene Roadmap</w:t>
      </w:r>
    </w:p>
    <w:p>
      <w:pPr>
        <w:spacing w:before="60" w:after="80"/>
      </w:pPr>
      <w:r>
        <w:rPr>
          <w:rFonts w:ascii="Arial" w:cs="Arial" w:eastAsia="Arial" w:hAnsi="Arial"/>
          <w:color w:val="555555"/>
          <w:sz w:val="21"/>
          <w:szCs w:val="21"/>
        </w:rPr>
        <w:t xml:space="preserve">Die folgende Einschaetzung basiert auf realistischen Wachstumsszenarien und dem Prinzip: so wenig Infrastrukturaufwand wie moeglich, so viel wie noetig.</w:t>
      </w:r>
    </w:p>
    <w:p>
      <w:pPr>
        <w:spacing w:before="0"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438"/>
        <w:gridCol w:w="2000"/>
      </w:tblGrid>
      <w:tr>
        <w:trPr>
          <w:tblHeader/>
        </w:trPr>
        <w:tc>
          <w:tcPr>
            <w:tcW w:type="dxa" w:w="16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Zeitraum</w:t>
            </w:r>
          </w:p>
        </w:tc>
        <w:tc>
          <w:tcPr>
            <w:tcW w:type="dxa" w:w="16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Kunden-Ziel</w:t>
            </w:r>
          </w:p>
        </w:tc>
        <w:tc>
          <w:tcPr>
            <w:tcW w:type="dxa" w:w="20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Plattform</w:t>
            </w:r>
          </w:p>
        </w:tc>
        <w:tc>
          <w:tcPr>
            <w:tcW w:type="dxa" w:w="2438"/>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Massnahmen</w:t>
            </w:r>
          </w:p>
        </w:tc>
        <w:tc>
          <w:tcPr>
            <w:tcW w:type="dxa" w:w="20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Investition</w:t>
            </w:r>
          </w:p>
        </w:tc>
      </w:tr>
      <w:tr>
        <w:tc>
          <w:tcPr>
            <w:tcW w:type="dxa" w:w="16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pPr>
              <w:spacing w:before="0" w:after="0"/>
            </w:pPr>
            <w:r>
              <w:rPr>
                <w:rFonts w:ascii="Arial" w:cs="Arial" w:eastAsia="Arial" w:hAnsi="Arial"/>
                <w:b/>
                <w:bCs/>
                <w:i w:val="false"/>
                <w:iCs w:val="false"/>
                <w:color w:val="002451"/>
                <w:sz w:val="19"/>
                <w:szCs w:val="19"/>
              </w:rPr>
              <w:t xml:space="preserve">Jetzt bis</w:t>
            </w:r>
          </w:p>
          <w:p>
            <w:pPr>
              <w:spacing w:before="40" w:after="0"/>
            </w:pPr>
            <w:r>
              <w:rPr>
                <w:rFonts w:ascii="Arial" w:cs="Arial" w:eastAsia="Arial" w:hAnsi="Arial"/>
                <w:b w:val="false"/>
                <w:bCs w:val="false"/>
                <w:i w:val="false"/>
                <w:iCs w:val="false"/>
                <w:color w:val="002451"/>
                <w:sz w:val="19"/>
                <w:szCs w:val="19"/>
              </w:rPr>
              <w:t xml:space="preserve">Ende 2026</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1-15</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Vercel + Supabase Pro</w:t>
            </w:r>
          </w:p>
        </w:tc>
        <w:tc>
          <w:tcPr>
            <w:tcW w:type="dxa" w:w="24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i w:val="false"/>
                <w:iCs w:val="false"/>
                <w:color w:val="555555"/>
                <w:sz w:val="19"/>
                <w:szCs w:val="19"/>
              </w:rPr>
              <w:t xml:space="preserve">- Supabase Pro aktivieren</w:t>
            </w:r>
          </w:p>
          <w:p>
            <w:pPr>
              <w:spacing w:before="40" w:after="0"/>
            </w:pPr>
            <w:r>
              <w:rPr>
                <w:rFonts w:ascii="Arial" w:cs="Arial" w:eastAsia="Arial" w:hAnsi="Arial"/>
                <w:b w:val="false"/>
                <w:bCs w:val="false"/>
                <w:i w:val="false"/>
                <w:iCs w:val="false"/>
                <w:color w:val="555555"/>
                <w:sz w:val="19"/>
                <w:szCs w:val="19"/>
              </w:rPr>
              <w:t xml:space="preserve">- EU-Region waehlen</w:t>
            </w:r>
          </w:p>
          <w:p>
            <w:pPr>
              <w:spacing w:before="40" w:after="0"/>
            </w:pPr>
            <w:r>
              <w:rPr>
                <w:rFonts w:ascii="Arial" w:cs="Arial" w:eastAsia="Arial" w:hAnsi="Arial"/>
                <w:b w:val="false"/>
                <w:bCs w:val="false"/>
                <w:i w:val="false"/>
                <w:iCs w:val="false"/>
                <w:color w:val="555555"/>
                <w:sz w:val="19"/>
                <w:szCs w:val="19"/>
              </w:rPr>
              <w:t xml:space="preserve">- AVV abschliessen</w:t>
            </w:r>
          </w:p>
          <w:p>
            <w:pPr>
              <w:spacing w:before="40" w:after="0"/>
            </w:pPr>
            <w:r>
              <w:rPr>
                <w:rFonts w:ascii="Arial" w:cs="Arial" w:eastAsia="Arial" w:hAnsi="Arial"/>
                <w:b w:val="false"/>
                <w:bCs w:val="false"/>
                <w:i w:val="false"/>
                <w:iCs w:val="false"/>
                <w:color w:val="555555"/>
                <w:sz w:val="19"/>
                <w:szCs w:val="19"/>
              </w:rPr>
              <w:t xml:space="preserve">- Backup verifizieren</w:t>
            </w:r>
          </w:p>
        </w:tc>
        <w:tc>
          <w:tcPr>
            <w:tcW w:type="dxa" w:w="20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2E7D32"/>
                <w:sz w:val="19"/>
                <w:szCs w:val="19"/>
              </w:rPr>
              <w:t xml:space="preserve">23 EUR/Mon. laufend</w:t>
            </w:r>
          </w:p>
        </w:tc>
      </w:tr>
      <w:tr>
        <w:tc>
          <w:tcPr>
            <w:tcW w:type="dxa" w:w="16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pPr>
              <w:spacing w:before="0" w:after="0"/>
            </w:pPr>
            <w:r>
              <w:rPr>
                <w:rFonts w:ascii="Arial" w:cs="Arial" w:eastAsia="Arial" w:hAnsi="Arial"/>
                <w:b/>
                <w:bCs/>
                <w:i w:val="false"/>
                <w:iCs w:val="false"/>
                <w:color w:val="002451"/>
                <w:sz w:val="19"/>
                <w:szCs w:val="19"/>
              </w:rPr>
              <w:t xml:space="preserve">2027</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15-50</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Migration Hetzner Stufe 1</w:t>
            </w:r>
          </w:p>
        </w:tc>
        <w:tc>
          <w:tcPr>
            <w:tcW w:type="dxa" w:w="24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i w:val="false"/>
                <w:iCs w:val="false"/>
                <w:color w:val="555555"/>
                <w:sz w:val="19"/>
                <w:szCs w:val="19"/>
              </w:rPr>
              <w:t xml:space="preserve">- Migration planen &amp; ausfuehren</w:t>
            </w:r>
          </w:p>
          <w:p>
            <w:pPr>
              <w:spacing w:before="40" w:after="0"/>
            </w:pPr>
            <w:r>
              <w:rPr>
                <w:rFonts w:ascii="Arial" w:cs="Arial" w:eastAsia="Arial" w:hAnsi="Arial"/>
                <w:b w:val="false"/>
                <w:bCs w:val="false"/>
                <w:i w:val="false"/>
                <w:iCs w:val="false"/>
                <w:color w:val="555555"/>
                <w:sz w:val="19"/>
                <w:szCs w:val="19"/>
              </w:rPr>
              <w:t xml:space="preserve">- Auth-Ersatz implementieren</w:t>
            </w:r>
          </w:p>
          <w:p>
            <w:pPr>
              <w:spacing w:before="40" w:after="0"/>
            </w:pPr>
            <w:r>
              <w:rPr>
                <w:rFonts w:ascii="Arial" w:cs="Arial" w:eastAsia="Arial" w:hAnsi="Arial"/>
                <w:b w:val="false"/>
                <w:bCs w:val="false"/>
                <w:i w:val="false"/>
                <w:iCs w:val="false"/>
                <w:color w:val="555555"/>
                <w:sz w:val="19"/>
                <w:szCs w:val="19"/>
              </w:rPr>
              <w:t xml:space="preserve">- Backup, Monitoring einrichten</w:t>
            </w:r>
          </w:p>
          <w:p>
            <w:pPr>
              <w:spacing w:before="40" w:after="0"/>
            </w:pPr>
            <w:r>
              <w:rPr>
                <w:rFonts w:ascii="Arial" w:cs="Arial" w:eastAsia="Arial" w:hAnsi="Arial"/>
                <w:b w:val="false"/>
                <w:bCs w:val="false"/>
                <w:i w:val="false"/>
                <w:iCs w:val="false"/>
                <w:color w:val="555555"/>
                <w:sz w:val="19"/>
                <w:szCs w:val="19"/>
              </w:rPr>
              <w:t xml:space="preserve">- Cloudflare vorschalten</w:t>
            </w:r>
          </w:p>
        </w:tc>
        <w:tc>
          <w:tcPr>
            <w:tcW w:type="dxa" w:w="2000"/>
            <w:gridSpan w:val="1"/>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tcPr>
          <w:p>
            <w:pPr>
              <w:spacing w:before="0" w:after="0"/>
            </w:pPr>
            <w:r>
              <w:rPr>
                <w:rFonts w:ascii="Arial" w:cs="Arial" w:eastAsia="Arial" w:hAnsi="Arial"/>
                <w:b w:val="false"/>
                <w:bCs w:val="false"/>
                <w:i w:val="false"/>
                <w:iCs w:val="false"/>
                <w:color w:val="B8860B"/>
                <w:sz w:val="19"/>
                <w:szCs w:val="19"/>
              </w:rPr>
              <w:t xml:space="preserve">10-15 EUR/Mon. laufend</w:t>
            </w:r>
          </w:p>
          <w:p>
            <w:pPr>
              <w:spacing w:before="40" w:after="0"/>
            </w:pPr>
            <w:r>
              <w:rPr>
                <w:rFonts w:ascii="Arial" w:cs="Arial" w:eastAsia="Arial" w:hAnsi="Arial"/>
                <w:b w:val="false"/>
                <w:bCs w:val="false"/>
                <w:i w:val="false"/>
                <w:iCs w:val="false"/>
                <w:color w:val="B8860B"/>
                <w:sz w:val="19"/>
                <w:szCs w:val="19"/>
              </w:rPr>
              <w:t xml:space="preserve">+ 3.000-8.000 EUR einmalig</w:t>
            </w:r>
          </w:p>
          <w:p>
            <w:pPr>
              <w:spacing w:before="40" w:after="0"/>
            </w:pPr>
            <w:r>
              <w:rPr>
                <w:rFonts w:ascii="Arial" w:cs="Arial" w:eastAsia="Arial" w:hAnsi="Arial"/>
                <w:b w:val="false"/>
                <w:bCs w:val="false"/>
                <w:i w:val="false"/>
                <w:iCs w:val="false"/>
                <w:color w:val="B8860B"/>
                <w:sz w:val="19"/>
                <w:szCs w:val="19"/>
              </w:rPr>
              <w:t xml:space="preserve">(Migrationsaufwand)</w:t>
            </w:r>
          </w:p>
        </w:tc>
      </w:tr>
      <w:tr>
        <w:tc>
          <w:tcPr>
            <w:tcW w:type="dxa" w:w="16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pPr>
              <w:spacing w:before="0" w:after="0"/>
            </w:pPr>
            <w:r>
              <w:rPr>
                <w:rFonts w:ascii="Arial" w:cs="Arial" w:eastAsia="Arial" w:hAnsi="Arial"/>
                <w:b/>
                <w:bCs/>
                <w:i w:val="false"/>
                <w:iCs w:val="false"/>
                <w:color w:val="002451"/>
                <w:sz w:val="19"/>
                <w:szCs w:val="19"/>
              </w:rPr>
              <w:t xml:space="preserve">2027/28</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50-300</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Hetzner Stufe 2, getrennte Server</w:t>
            </w:r>
          </w:p>
        </w:tc>
        <w:tc>
          <w:tcPr>
            <w:tcW w:type="dxa" w:w="24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i w:val="false"/>
                <w:iCs w:val="false"/>
                <w:color w:val="555555"/>
                <w:sz w:val="19"/>
                <w:szCs w:val="19"/>
              </w:rPr>
              <w:t xml:space="preserve">- App &amp; DB trennen</w:t>
            </w:r>
          </w:p>
          <w:p>
            <w:pPr>
              <w:spacing w:before="40" w:after="0"/>
            </w:pPr>
            <w:r>
              <w:rPr>
                <w:rFonts w:ascii="Arial" w:cs="Arial" w:eastAsia="Arial" w:hAnsi="Arial"/>
                <w:b w:val="false"/>
                <w:bCs w:val="false"/>
                <w:i w:val="false"/>
                <w:iCs w:val="false"/>
                <w:color w:val="555555"/>
                <w:sz w:val="19"/>
                <w:szCs w:val="19"/>
              </w:rPr>
              <w:t xml:space="preserve">- Load Balancer</w:t>
            </w:r>
          </w:p>
          <w:p>
            <w:pPr>
              <w:spacing w:before="40" w:after="0"/>
            </w:pPr>
            <w:r>
              <w:rPr>
                <w:rFonts w:ascii="Arial" w:cs="Arial" w:eastAsia="Arial" w:hAnsi="Arial"/>
                <w:b w:val="false"/>
                <w:bCs w:val="false"/>
                <w:i w:val="false"/>
                <w:iCs w:val="false"/>
                <w:color w:val="555555"/>
                <w:sz w:val="19"/>
                <w:szCs w:val="19"/>
              </w:rPr>
              <w:t xml:space="preserve">- Monitoring ausbauen</w:t>
            </w:r>
          </w:p>
          <w:p>
            <w:pPr>
              <w:spacing w:before="40" w:after="0"/>
            </w:pPr>
            <w:r>
              <w:rPr>
                <w:rFonts w:ascii="Arial" w:cs="Arial" w:eastAsia="Arial" w:hAnsi="Arial"/>
                <w:b w:val="false"/>
                <w:bCs w:val="false"/>
                <w:i w:val="false"/>
                <w:iCs w:val="false"/>
                <w:color w:val="555555"/>
                <w:sz w:val="19"/>
                <w:szCs w:val="19"/>
              </w:rPr>
              <w:t xml:space="preserve">- Externer DevOps-Vertrag</w:t>
            </w:r>
          </w:p>
        </w:tc>
        <w:tc>
          <w:tcPr>
            <w:tcW w:type="dxa" w:w="2000"/>
            <w:gridSpan w:val="1"/>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tcPr>
          <w:p>
            <w:pPr>
              <w:spacing w:before="0" w:after="0"/>
            </w:pPr>
            <w:r>
              <w:rPr>
                <w:rFonts w:ascii="Arial" w:cs="Arial" w:eastAsia="Arial" w:hAnsi="Arial"/>
                <w:b w:val="false"/>
                <w:bCs w:val="false"/>
                <w:i w:val="false"/>
                <w:iCs w:val="false"/>
                <w:color w:val="B8860B"/>
                <w:sz w:val="19"/>
                <w:szCs w:val="19"/>
              </w:rPr>
              <w:t xml:space="preserve">50-90 EUR/Mon. Hardware</w:t>
            </w:r>
          </w:p>
          <w:p>
            <w:pPr>
              <w:spacing w:before="40" w:after="0"/>
            </w:pPr>
            <w:r>
              <w:rPr>
                <w:rFonts w:ascii="Arial" w:cs="Arial" w:eastAsia="Arial" w:hAnsi="Arial"/>
                <w:b w:val="false"/>
                <w:bCs w:val="false"/>
                <w:i w:val="false"/>
                <w:iCs w:val="false"/>
                <w:color w:val="B8860B"/>
                <w:sz w:val="19"/>
                <w:szCs w:val="19"/>
              </w:rPr>
              <w:t xml:space="preserve">+ 300-600 EUR/Mon. DevOps</w:t>
            </w:r>
          </w:p>
        </w:tc>
      </w:tr>
      <w:tr>
        <w:tc>
          <w:tcPr>
            <w:tcW w:type="dxa" w:w="1600"/>
            <w:gridSpan w:val="1"/>
            <w:tcBorders>
              <w:top w:val="single" w:color="CCCCCC" w:sz="1"/>
              <w:left w:val="single" w:color="CCCCCC" w:sz="1"/>
              <w:bottom w:val="single" w:color="CCCCCC" w:sz="1"/>
              <w:right w:val="single" w:color="CCCCCC" w:sz="1"/>
            </w:tcBorders>
            <w:shd w:fill="EEF3F9" w:val="clear"/>
            <w:tcMar>
              <w:top w:type="dxa" w:w="100"/>
              <w:left w:type="dxa" w:w="140"/>
              <w:bottom w:type="dxa" w:w="100"/>
              <w:right w:type="dxa" w:w="140"/>
            </w:tcMar>
          </w:tcPr>
          <w:p>
            <w:pPr>
              <w:spacing w:before="0" w:after="0"/>
            </w:pPr>
            <w:r>
              <w:rPr>
                <w:rFonts w:ascii="Arial" w:cs="Arial" w:eastAsia="Arial" w:hAnsi="Arial"/>
                <w:b/>
                <w:bCs/>
                <w:i w:val="false"/>
                <w:iCs w:val="false"/>
                <w:color w:val="002451"/>
                <w:sz w:val="19"/>
                <w:szCs w:val="19"/>
              </w:rPr>
              <w:t xml:space="preserve">ab 2028</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300+</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Cluster / Managed Cloud</w:t>
            </w:r>
          </w:p>
        </w:tc>
        <w:tc>
          <w:tcPr>
            <w:tcW w:type="dxa" w:w="2438"/>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i w:val="false"/>
                <w:iCs w:val="false"/>
                <w:color w:val="555555"/>
                <w:sz w:val="19"/>
                <w:szCs w:val="19"/>
              </w:rPr>
              <w:t xml:space="preserve">- Cluster-Architektur</w:t>
            </w:r>
          </w:p>
          <w:p>
            <w:pPr>
              <w:spacing w:before="40" w:after="0"/>
            </w:pPr>
            <w:r>
              <w:rPr>
                <w:rFonts w:ascii="Arial" w:cs="Arial" w:eastAsia="Arial" w:hAnsi="Arial"/>
                <w:b w:val="false"/>
                <w:bCs w:val="false"/>
                <w:i w:val="false"/>
                <w:iCs w:val="false"/>
                <w:color w:val="555555"/>
                <w:sz w:val="19"/>
                <w:szCs w:val="19"/>
              </w:rPr>
              <w:t xml:space="preserve">- Dedizierter DevOps-Partner</w:t>
            </w:r>
          </w:p>
          <w:p>
            <w:pPr>
              <w:spacing w:before="40" w:after="0"/>
            </w:pPr>
            <w:r>
              <w:rPr>
                <w:rFonts w:ascii="Arial" w:cs="Arial" w:eastAsia="Arial" w:hAnsi="Arial"/>
                <w:b w:val="false"/>
                <w:bCs w:val="false"/>
                <w:i w:val="false"/>
                <w:iCs w:val="false"/>
                <w:color w:val="555555"/>
                <w:sz w:val="19"/>
                <w:szCs w:val="19"/>
              </w:rPr>
              <w:t xml:space="preserve">- ISO 27001 Vorbereitung</w:t>
            </w:r>
          </w:p>
          <w:p>
            <w:pPr>
              <w:spacing w:before="40" w:after="0"/>
            </w:pPr>
            <w:r>
              <w:rPr>
                <w:rFonts w:ascii="Arial" w:cs="Arial" w:eastAsia="Arial" w:hAnsi="Arial"/>
                <w:b w:val="false"/>
                <w:bCs w:val="false"/>
                <w:i w:val="false"/>
                <w:iCs w:val="false"/>
                <w:color w:val="555555"/>
                <w:sz w:val="19"/>
                <w:szCs w:val="19"/>
              </w:rPr>
              <w:t xml:space="preserve">- SLA-Garantien</w:t>
            </w:r>
          </w:p>
        </w:tc>
        <w:tc>
          <w:tcPr>
            <w:tcW w:type="dxa" w:w="2000"/>
            <w:gridSpan w:val="1"/>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pPr>
              <w:spacing w:before="0" w:after="0"/>
            </w:pPr>
            <w:r>
              <w:rPr>
                <w:rFonts w:ascii="Arial" w:cs="Arial" w:eastAsia="Arial" w:hAnsi="Arial"/>
                <w:b w:val="false"/>
                <w:bCs w:val="false"/>
                <w:i w:val="false"/>
                <w:iCs w:val="false"/>
                <w:color w:val="E65100"/>
                <w:sz w:val="19"/>
                <w:szCs w:val="19"/>
              </w:rPr>
              <w:t xml:space="preserve">200-500 EUR/Mon. Hardware</w:t>
            </w:r>
          </w:p>
          <w:p>
            <w:pPr>
              <w:spacing w:before="40" w:after="0"/>
            </w:pPr>
            <w:r>
              <w:rPr>
                <w:rFonts w:ascii="Arial" w:cs="Arial" w:eastAsia="Arial" w:hAnsi="Arial"/>
                <w:b w:val="false"/>
                <w:bCs w:val="false"/>
                <w:i w:val="false"/>
                <w:iCs w:val="false"/>
                <w:color w:val="E65100"/>
                <w:sz w:val="19"/>
                <w:szCs w:val="19"/>
              </w:rPr>
              <w:t xml:space="preserve">+ 800-1.500 EUR/Mon. Betrieb</w:t>
            </w:r>
          </w:p>
          <w:p>
            <w:pPr>
              <w:spacing w:before="40" w:after="0"/>
            </w:pPr>
            <w:r>
              <w:rPr>
                <w:rFonts w:ascii="Arial" w:cs="Arial" w:eastAsia="Arial" w:hAnsi="Arial"/>
                <w:b w:val="false"/>
                <w:bCs w:val="false"/>
                <w:i w:val="false"/>
                <w:iCs w:val="false"/>
                <w:color w:val="E65100"/>
                <w:sz w:val="19"/>
                <w:szCs w:val="19"/>
              </w:rPr>
              <w:t xml:space="preserve">(oder interner DevOps)</w:t>
            </w:r>
          </w:p>
        </w:tc>
      </w:tr>
    </w:tbl>
    <w:p>
      <w:pPr>
        <w:spacing w:before="0" w:after="120"/>
      </w:pPr>
      <w:r>
        <w:t xml:space="preserve"/>
      </w:r>
    </w:p>
    <w:p>
      <w:pPr>
        <w:pBdr>
          <w:left w:val="single" w:color="002451" w:sz="16"/>
        </w:pBdr>
        <w:shd w:fill="EEF3F9" w:val="clear"/>
        <w:spacing w:before="160" w:after="160"/>
        <w:ind w:left="200" w:right="200"/>
      </w:pPr>
      <w:r>
        <w:rPr>
          <w:rFonts w:ascii="Arial" w:cs="Arial" w:eastAsia="Arial" w:hAnsi="Arial"/>
          <w:i/>
          <w:iCs/>
          <w:color w:val="333333"/>
          <w:sz w:val="20"/>
          <w:szCs w:val="20"/>
        </w:rPr>
        <w:t xml:space="preserve">Kernprinzip: Nicht die Hardware macht eine Plattform professionell - sondern der Betrieb. Eine gut betriebene guenstige Infrastruktur ist besser als eine teure schlecht betriebene.</w:t>
      </w:r>
    </w:p>
    <w:p>
      <w:pPr>
        <w:spacing w:before="0" w:after="120"/>
      </w:pPr>
      <w:r>
        <w:t xml:space="preserve"/>
      </w:r>
    </w:p>
    <w:p>
      <w:pPr>
        <w:pStyle w:val="Heading1"/>
        <w:pBdr>
          <w:bottom w:val="single" w:color="002451" w:sz="6" w:space="6"/>
        </w:pBdr>
        <w:spacing w:before="400" w:after="160"/>
      </w:pPr>
      <w:r>
        <w:rPr>
          <w:rFonts w:ascii="Arial" w:cs="Arial" w:eastAsia="Arial" w:hAnsi="Arial"/>
          <w:b/>
          <w:bCs/>
          <w:color w:val="002451"/>
          <w:sz w:val="30"/>
          <w:szCs w:val="30"/>
        </w:rPr>
        <w:t xml:space="preserve">8.  Kostenentwicklung im Verhaeltnis zum Umsatz</w:t>
      </w:r>
    </w:p>
    <w:p>
      <w:pPr>
        <w:spacing w:before="60" w:after="80"/>
      </w:pPr>
      <w:r>
        <w:rPr>
          <w:rFonts w:ascii="Arial" w:cs="Arial" w:eastAsia="Arial" w:hAnsi="Arial"/>
          <w:color w:val="555555"/>
          <w:sz w:val="21"/>
          <w:szCs w:val="21"/>
        </w:rPr>
        <w:t xml:space="preserve">Um die Infrastrukturkosten einzuordnen: Bei einem angenommenen Abo-Preis von 100-200 EUR/Monat pro Kundenunternehmen ergibt sich folgendes Bild:</w:t>
      </w:r>
    </w:p>
    <w:p>
      <w:pPr>
        <w:spacing w:before="0"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100"/>
        <w:gridCol w:w="2100"/>
        <w:gridCol w:w="2038"/>
      </w:tblGrid>
      <w:tr>
        <w:trPr>
          <w:tblHeader/>
        </w:trPr>
        <w:tc>
          <w:tcPr>
            <w:tcW w:type="dxa" w:w="18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Kunden</w:t>
            </w:r>
          </w:p>
        </w:tc>
        <w:tc>
          <w:tcPr>
            <w:tcW w:type="dxa" w:w="16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Umsatz/Mon.*</w:t>
            </w:r>
          </w:p>
        </w:tc>
        <w:tc>
          <w:tcPr>
            <w:tcW w:type="dxa" w:w="21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Infrastruktur-kosten</w:t>
            </w:r>
          </w:p>
        </w:tc>
        <w:tc>
          <w:tcPr>
            <w:tcW w:type="dxa" w:w="2100"/>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Betriebsaufwand</w:t>
            </w:r>
          </w:p>
        </w:tc>
        <w:tc>
          <w:tcPr>
            <w:tcW w:type="dxa" w:w="2038"/>
            <w:gridSpan w:val="1"/>
            <w:tcBorders>
              <w:top w:val="single" w:color="CCCCCC" w:sz="1"/>
              <w:left w:val="single" w:color="CCCCCC" w:sz="1"/>
              <w:bottom w:val="single" w:color="CCCCCC" w:sz="1"/>
              <w:right w:val="single" w:color="CCCCCC" w:sz="1"/>
            </w:tcBorders>
            <w:shd w:fill="002451"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Infrastruktur-anteil</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10-15</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1.000-3.000 EUR</w:t>
            </w:r>
          </w:p>
        </w:tc>
        <w:tc>
          <w:tcPr>
            <w:tcW w:type="dxa" w:w="21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23 EUR (Supabase Pro)</w:t>
            </w:r>
          </w:p>
        </w:tc>
        <w:tc>
          <w:tcPr>
            <w:tcW w:type="dxa" w:w="2100"/>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Minimal</w:t>
            </w:r>
          </w:p>
        </w:tc>
        <w:tc>
          <w:tcPr>
            <w:tcW w:type="dxa" w:w="2038"/>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E7D32"/>
                <w:sz w:val="19"/>
                <w:szCs w:val="19"/>
              </w:rPr>
              <w:t xml:space="preserve">unter 2 %</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50</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5.000-10.000 EUR</w:t>
            </w:r>
          </w:p>
        </w:tc>
        <w:tc>
          <w:tcPr>
            <w:tcW w:type="dxa" w:w="21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15 EUR Hardware
+ 400 EUR Betrieb</w:t>
            </w:r>
          </w:p>
        </w:tc>
        <w:tc>
          <w:tcPr>
            <w:tcW w:type="dxa" w:w="21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4-6 h/Mon. externer DevOps</w:t>
            </w:r>
          </w:p>
        </w:tc>
        <w:tc>
          <w:tcPr>
            <w:tcW w:type="dxa" w:w="2038"/>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E7D32"/>
                <w:sz w:val="19"/>
                <w:szCs w:val="19"/>
              </w:rPr>
              <w:t xml:space="preserve">4-8 %</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200</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20.000-40.000 EUR</w:t>
            </w:r>
          </w:p>
        </w:tc>
        <w:tc>
          <w:tcPr>
            <w:tcW w:type="dxa" w:w="21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70 EUR Hardware
+ 800 EUR Betrieb</w:t>
            </w:r>
          </w:p>
        </w:tc>
        <w:tc>
          <w:tcPr>
            <w:tcW w:type="dxa" w:w="21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8-10 h/Mon. externer DevOps</w:t>
            </w:r>
          </w:p>
        </w:tc>
        <w:tc>
          <w:tcPr>
            <w:tcW w:type="dxa" w:w="2038"/>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E7D32"/>
                <w:sz w:val="19"/>
                <w:szCs w:val="19"/>
              </w:rPr>
              <w:t xml:space="preserve">2-4 %</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1.000</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100.000+ EUR</w:t>
            </w:r>
          </w:p>
        </w:tc>
        <w:tc>
          <w:tcPr>
            <w:tcW w:type="dxa" w:w="21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400 EUR Hardware
+ 1.500 EUR Betrieb</w:t>
            </w:r>
          </w:p>
        </w:tc>
        <w:tc>
          <w:tcPr>
            <w:tcW w:type="dxa" w:w="21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555555"/>
                <w:sz w:val="19"/>
                <w:szCs w:val="19"/>
              </w:rPr>
              <w:t xml:space="preserve">Managed Service oder eigenes DevOps</w:t>
            </w:r>
          </w:p>
        </w:tc>
        <w:tc>
          <w:tcPr>
            <w:tcW w:type="dxa" w:w="2038"/>
            <w:gridSpan w:val="1"/>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E7D32"/>
                <w:sz w:val="19"/>
                <w:szCs w:val="19"/>
              </w:rPr>
              <w:t xml:space="preserve">unter 2 %</w:t>
            </w:r>
          </w:p>
        </w:tc>
      </w:tr>
    </w:tbl>
    <w:p>
      <w:pPr>
        <w:spacing w:before="0" w:after="120"/>
      </w:pPr>
      <w:r>
        <w:t xml:space="preserve"/>
      </w:r>
    </w:p>
    <w:p>
      <w:pPr>
        <w:spacing w:before="60" w:after="80"/>
      </w:pPr>
      <w:r>
        <w:rPr>
          <w:rFonts w:ascii="Arial" w:cs="Arial" w:eastAsia="Arial" w:hAnsi="Arial"/>
          <w:i/>
          <w:iCs/>
          <w:color w:val="555555"/>
          <w:sz w:val="21"/>
          <w:szCs w:val="21"/>
        </w:rPr>
        <w:t xml:space="preserve">* Annahme: 100-200 EUR/Mon. pro Kundenunternehmen. Reale Preise haengen vom Geschaftsmodell ab.</w:t>
      </w:r>
    </w:p>
    <w:p>
      <w:pPr>
        <w:spacing w:before="0" w:after="120"/>
      </w:pPr>
      <w:r>
        <w:t xml:space="preserve"/>
      </w:r>
    </w:p>
    <w:p>
      <w:pPr>
        <w:pBdr>
          <w:left w:val="single" w:color="002451" w:sz="16"/>
        </w:pBdr>
        <w:shd w:fill="EEF3F9" w:val="clear"/>
        <w:spacing w:before="160" w:after="160"/>
        <w:ind w:left="200" w:right="200"/>
      </w:pPr>
      <w:r>
        <w:rPr>
          <w:rFonts w:ascii="Arial" w:cs="Arial" w:eastAsia="Arial" w:hAnsi="Arial"/>
          <w:i/>
          <w:iCs/>
          <w:color w:val="333333"/>
          <w:sz w:val="20"/>
          <w:szCs w:val="20"/>
        </w:rPr>
        <w:t xml:space="preserve">Die Infrastrukturkosten sind auf jeder Skalierungsstufe vergleichsweise gering. Der wesentliche Kostenfaktor ab Stufe 2 ist nicht die Hardware, sondern der qualifizierte Betrieb.</w:t>
      </w:r>
    </w:p>
    <w:p>
      <w:pPr>
        <w:spacing w:before="0" w:after="120"/>
      </w:pPr>
      <w:r>
        <w:t xml:space="preserve"/>
      </w:r>
    </w:p>
    <w:p>
      <w:pPr>
        <w:pStyle w:val="Heading1"/>
        <w:pBdr>
          <w:bottom w:val="single" w:color="002451" w:sz="6" w:space="6"/>
        </w:pBdr>
        <w:spacing w:before="400" w:after="160"/>
      </w:pPr>
      <w:r>
        <w:rPr>
          <w:rFonts w:ascii="Arial" w:cs="Arial" w:eastAsia="Arial" w:hAnsi="Arial"/>
          <w:b/>
          <w:bCs/>
          <w:color w:val="002451"/>
          <w:sz w:val="30"/>
          <w:szCs w:val="30"/>
        </w:rPr>
        <w:t xml:space="preserve">9.  Handlungsempfehlungen</w:t>
      </w:r>
    </w:p>
    <w:p>
      <w:pPr>
        <w:pStyle w:val="Heading2"/>
        <w:spacing w:before="280" w:after="100"/>
      </w:pPr>
      <w:r>
        <w:rPr>
          <w:rFonts w:ascii="Arial" w:cs="Arial" w:eastAsia="Arial" w:hAnsi="Arial"/>
          <w:b/>
          <w:bCs/>
          <w:color w:val="1A4080"/>
          <w:sz w:val="24"/>
          <w:szCs w:val="24"/>
        </w:rPr>
        <w:t xml:space="preserve">Sofortmassnahmen (unabhaengig von Hosting-Entscheidung)</w:t>
      </w:r>
    </w:p>
    <w:p>
      <w:pPr>
        <w:pStyle w:val="ListParagraph"/>
        <w:numPr>
          <w:ilvl w:val="0"/>
          <w:numId w:val="2"/>
        </w:numPr>
        <w:spacing w:before="40" w:after="40"/>
      </w:pPr>
      <w:r>
        <w:rPr>
          <w:rFonts w:ascii="Arial" w:cs="Arial" w:eastAsia="Arial" w:hAnsi="Arial"/>
          <w:color w:val="555555"/>
          <w:sz w:val="20"/>
          <w:szCs w:val="20"/>
        </w:rPr>
        <w:t xml:space="preserve">Supabase Pro aktivieren: Free Tier pausiert nach 7 Tagen Inaktivitaet - das ist nicht produktionstauglich</w:t>
      </w:r>
    </w:p>
    <w:p>
      <w:pPr>
        <w:pStyle w:val="ListParagraph"/>
        <w:numPr>
          <w:ilvl w:val="0"/>
          <w:numId w:val="2"/>
        </w:numPr>
        <w:spacing w:before="40" w:after="40"/>
      </w:pPr>
      <w:r>
        <w:rPr>
          <w:rFonts w:ascii="Arial" w:cs="Arial" w:eastAsia="Arial" w:hAnsi="Arial"/>
          <w:color w:val="555555"/>
          <w:sz w:val="20"/>
          <w:szCs w:val="20"/>
        </w:rPr>
        <w:t xml:space="preserve">EU-Region in Supabase einstellen (Frankfurt): Voraussetzung fuer DSGVO-konformen Betrieb</w:t>
      </w:r>
    </w:p>
    <w:p>
      <w:pPr>
        <w:pStyle w:val="ListParagraph"/>
        <w:numPr>
          <w:ilvl w:val="0"/>
          <w:numId w:val="2"/>
        </w:numPr>
        <w:spacing w:before="40" w:after="40"/>
      </w:pPr>
      <w:r>
        <w:rPr>
          <w:rFonts w:ascii="Arial" w:cs="Arial" w:eastAsia="Arial" w:hAnsi="Arial"/>
          <w:color w:val="555555"/>
          <w:sz w:val="20"/>
          <w:szCs w:val="20"/>
        </w:rPr>
        <w:t xml:space="preserve">AVV mit Supabase und Vercel abschliessen: Pflicht nach DSGVO wenn Kundendaten verarbeitet werden</w:t>
      </w:r>
    </w:p>
    <w:p>
      <w:pPr>
        <w:pStyle w:val="ListParagraph"/>
        <w:numPr>
          <w:ilvl w:val="0"/>
          <w:numId w:val="2"/>
        </w:numPr>
        <w:spacing w:before="40" w:after="40"/>
      </w:pPr>
      <w:r>
        <w:rPr>
          <w:rFonts w:ascii="Arial" w:cs="Arial" w:eastAsia="Arial" w:hAnsi="Arial"/>
          <w:color w:val="555555"/>
          <w:sz w:val="20"/>
          <w:szCs w:val="20"/>
        </w:rPr>
        <w:t xml:space="preserve">Backup-Funktionsfaehigkeit pruefen: Einen Test-Restore aus dem Supabase-Backup durchfuehren</w:t>
      </w:r>
    </w:p>
    <w:p>
      <w:pPr>
        <w:pStyle w:val="ListParagraph"/>
        <w:numPr>
          <w:ilvl w:val="0"/>
          <w:numId w:val="2"/>
        </w:numPr>
        <w:spacing w:before="40" w:after="40"/>
      </w:pPr>
      <w:r>
        <w:rPr>
          <w:rFonts w:ascii="Arial" w:cs="Arial" w:eastAsia="Arial" w:hAnsi="Arial"/>
          <w:color w:val="555555"/>
          <w:sz w:val="20"/>
          <w:szCs w:val="20"/>
        </w:rPr>
        <w:t xml:space="preserve">MFA fuer alle Admin-Zugaenge aktivieren: Supabase-Dashboard, Vercel, GitHub</w:t>
      </w:r>
    </w:p>
    <w:p>
      <w:pPr>
        <w:spacing w:before="0" w:after="120"/>
      </w:pPr>
      <w:r>
        <w:t xml:space="preserve"/>
      </w:r>
    </w:p>
    <w:p>
      <w:pPr>
        <w:pStyle w:val="Heading2"/>
        <w:spacing w:before="280" w:after="100"/>
      </w:pPr>
      <w:r>
        <w:rPr>
          <w:rFonts w:ascii="Arial" w:cs="Arial" w:eastAsia="Arial" w:hAnsi="Arial"/>
          <w:b/>
          <w:bCs/>
          <w:color w:val="1A4080"/>
          <w:sz w:val="24"/>
          <w:szCs w:val="24"/>
        </w:rPr>
        <w:t xml:space="preserve">Mittelfristig (ab 15+ Kunden)</w:t>
      </w:r>
    </w:p>
    <w:p>
      <w:pPr>
        <w:pStyle w:val="ListParagraph"/>
        <w:numPr>
          <w:ilvl w:val="0"/>
          <w:numId w:val="2"/>
        </w:numPr>
        <w:spacing w:before="40" w:after="40"/>
      </w:pPr>
      <w:r>
        <w:rPr>
          <w:rFonts w:ascii="Arial" w:cs="Arial" w:eastAsia="Arial" w:hAnsi="Arial"/>
          <w:color w:val="555555"/>
          <w:sz w:val="20"/>
          <w:szCs w:val="20"/>
        </w:rPr>
        <w:t xml:space="preserve">Hetzner-Migration konkret vorbereiten: DevOps-Spezialisten sondieren, Angebote einholen</w:t>
      </w:r>
    </w:p>
    <w:p>
      <w:pPr>
        <w:pStyle w:val="ListParagraph"/>
        <w:numPr>
          <w:ilvl w:val="0"/>
          <w:numId w:val="2"/>
        </w:numPr>
        <w:spacing w:before="40" w:after="40"/>
      </w:pPr>
      <w:r>
        <w:rPr>
          <w:rFonts w:ascii="Arial" w:cs="Arial" w:eastAsia="Arial" w:hAnsi="Arial"/>
          <w:color w:val="555555"/>
          <w:sz w:val="20"/>
          <w:szCs w:val="20"/>
        </w:rPr>
        <w:t xml:space="preserve">Auth-Ersatz evaluieren: NextAuth.js oder Clerk als Supabase-Auth-Nachfolger pruefen</w:t>
      </w:r>
    </w:p>
    <w:p>
      <w:pPr>
        <w:pStyle w:val="ListParagraph"/>
        <w:numPr>
          <w:ilvl w:val="0"/>
          <w:numId w:val="2"/>
        </w:numPr>
        <w:spacing w:before="40" w:after="40"/>
      </w:pPr>
      <w:r>
        <w:rPr>
          <w:rFonts w:ascii="Arial" w:cs="Arial" w:eastAsia="Arial" w:hAnsi="Arial"/>
          <w:color w:val="555555"/>
          <w:sz w:val="20"/>
          <w:szCs w:val="20"/>
        </w:rPr>
        <w:t xml:space="preserve">Datenschutzdokumentation aufbauen: Verarbeitungsverzeichnis, TOMs, Auftragsverarbeitungsvertraege mit Kunden</w:t>
      </w:r>
    </w:p>
    <w:p>
      <w:pPr>
        <w:spacing w:before="0" w:after="120"/>
      </w:pPr>
      <w:r>
        <w:t xml:space="preserve"/>
      </w:r>
    </w:p>
    <w:p>
      <w:pPr>
        <w:pStyle w:val="Heading2"/>
        <w:spacing w:before="280" w:after="100"/>
      </w:pPr>
      <w:r>
        <w:rPr>
          <w:rFonts w:ascii="Arial" w:cs="Arial" w:eastAsia="Arial" w:hAnsi="Arial"/>
          <w:b/>
          <w:bCs/>
          <w:color w:val="1A4080"/>
          <w:sz w:val="24"/>
          <w:szCs w:val="24"/>
        </w:rPr>
        <w:t xml:space="preserve">Langfristig (ab 100+ Kunden)</w:t>
      </w:r>
    </w:p>
    <w:p>
      <w:pPr>
        <w:pStyle w:val="ListParagraph"/>
        <w:numPr>
          <w:ilvl w:val="0"/>
          <w:numId w:val="2"/>
        </w:numPr>
        <w:spacing w:before="40" w:after="40"/>
      </w:pPr>
      <w:r>
        <w:rPr>
          <w:rFonts w:ascii="Arial" w:cs="Arial" w:eastAsia="Arial" w:hAnsi="Arial"/>
          <w:color w:val="555555"/>
          <w:sz w:val="20"/>
          <w:szCs w:val="20"/>
        </w:rPr>
        <w:t xml:space="preserve">DevOps-Partnervertrag: Fester Dienstleister fuer Serverwartung und 24/7-Bereitschaft</w:t>
      </w:r>
    </w:p>
    <w:p>
      <w:pPr>
        <w:pStyle w:val="ListParagraph"/>
        <w:numPr>
          <w:ilvl w:val="0"/>
          <w:numId w:val="2"/>
        </w:numPr>
        <w:spacing w:before="40" w:after="40"/>
      </w:pPr>
      <w:r>
        <w:rPr>
          <w:rFonts w:ascii="Arial" w:cs="Arial" w:eastAsia="Arial" w:hAnsi="Arial"/>
          <w:color w:val="555555"/>
          <w:sz w:val="20"/>
          <w:szCs w:val="20"/>
        </w:rPr>
        <w:t xml:space="preserve">ISO 27001 vorbereiten: Bei groesseren Unternehmenskunden oder oeffentlichen Auftraggebern haeufig Voraussetzung</w:t>
      </w:r>
    </w:p>
    <w:p>
      <w:pPr>
        <w:pStyle w:val="ListParagraph"/>
        <w:numPr>
          <w:ilvl w:val="0"/>
          <w:numId w:val="2"/>
        </w:numPr>
        <w:spacing w:before="40" w:after="40"/>
      </w:pPr>
      <w:r>
        <w:rPr>
          <w:rFonts w:ascii="Arial" w:cs="Arial" w:eastAsia="Arial" w:hAnsi="Arial"/>
          <w:color w:val="555555"/>
          <w:sz w:val="20"/>
          <w:szCs w:val="20"/>
        </w:rPr>
        <w:t xml:space="preserve">SLA-Konzept entwickeln: Welche Verfuegbarkeit garantiert ihr euren Kunden? Das bestimmt die Infrastrukturanforderungen.</w:t>
      </w:r>
    </w:p>
    <w:p>
      <w:pPr>
        <w:spacing w:before="0" w:after="120"/>
      </w:pPr>
      <w:r>
        <w:t xml:space="preserve"/>
      </w:r>
    </w:p>
    <w:p>
      <w:pPr>
        <w:pBdr>
          <w:top w:val="single" w:color="002451" w:sz="4" w:space="6"/>
          <w:bottom w:val="single" w:color="002451" w:sz="4" w:space="6"/>
        </w:pBdr>
        <w:shd w:fill="EEF3F9" w:val="clear"/>
        <w:spacing w:before="320" w:after="120"/>
        <w:ind w:left="200" w:right="200"/>
      </w:pPr>
      <w:r>
        <w:rPr>
          <w:rFonts w:ascii="Arial" w:cs="Arial" w:eastAsia="Arial" w:hAnsi="Arial"/>
          <w:b/>
          <w:bCs/>
          <w:color w:val="002451"/>
          <w:sz w:val="21"/>
          <w:szCs w:val="21"/>
        </w:rPr>
        <w:t xml:space="preserve">Gesamtbewertung: </w:t>
      </w:r>
      <w:r>
        <w:rPr>
          <w:rFonts w:ascii="Arial" w:cs="Arial" w:eastAsia="Arial" w:hAnsi="Arial"/>
          <w:color w:val="333333"/>
          <w:sz w:val="21"/>
          <w:szCs w:val="21"/>
        </w:rPr>
        <w:t xml:space="preserve">PZE hat eine solide technische Basis und adressiert einen klar definierten Markt. Die Infrastruktur ist auf jeder Wachstumsstufe beherrschbar - vorausgesetzt, der Betriebsaufwand wird nicht unterschaetzt und rechtzeitig organisiert. Der kritische Moment ist nicht der Uebergang von 15 auf 50 Kunden (der ist gut planbar), sondern der Uebergang in den professionellen Dauerbetrieb ab Stufe 2, bei dem externe DevOps-Kompetenz eingebunden werden sollte.</w:t>
      </w:r>
    </w:p>
    <w:p>
      <w:pPr>
        <w:spacing w:before="0" w:after="120"/>
      </w:pPr>
      <w:r>
        <w:t xml:space="preserve"/>
      </w:r>
    </w:p>
    <w:p>
      <w:pPr>
        <w:pBdr>
          <w:top w:val="single" w:color="CCCCCC" w:sz="2" w:space="4"/>
        </w:pBdr>
        <w:spacing w:before="160" w:after="0"/>
      </w:pPr>
      <w:r>
        <w:rPr>
          <w:rFonts w:ascii="Arial" w:cs="Arial" w:eastAsia="Arial" w:hAnsi="Arial"/>
          <w:i/>
          <w:iCs/>
          <w:color w:val="888888"/>
          <w:sz w:val="16"/>
          <w:szCs w:val="16"/>
        </w:rPr>
        <w:t xml:space="preserve">Quellen: Hetzner Cloud Preisliste (hetzner.com/cloud, Feb. 2026), Supabase Pricing (supabase.com/pricing), BSI NIS2-Informationen, eigene Erfahrungswerte aus PZE-Entwicklung.</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2451" w:sz="4" w:space="4"/>
      </w:pBdr>
      <w:tabs>
        <w:tab w:val="right" w:pos="9638"/>
      </w:tabs>
      <w:spacing w:before="80"/>
    </w:pPr>
    <w:r>
      <w:rPr>
        <w:rFonts w:ascii="Arial" w:cs="Arial" w:eastAsia="Arial" w:hAnsi="Arial"/>
        <w:color w:val="555555"/>
        <w:sz w:val="16"/>
        <w:szCs w:val="16"/>
      </w:rPr>
      <w:t xml:space="preserve">Cubintec GmbH  |  Vertraulich  |  Internes Strategiepapier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2451" w:sz="4" w:space="4"/>
      </w:pBdr>
      <w:tabs>
        <w:tab w:val="right" w:pos="9638"/>
      </w:tabs>
      <w:spacing w:after="100"/>
    </w:pPr>
    <w:r>
      <w:rPr>
        <w:rFonts w:ascii="Arial" w:cs="Arial" w:eastAsia="Arial" w:hAnsi="Arial"/>
        <w:b/>
        <w:bCs/>
        <w:color w:val="002451"/>
        <w:sz w:val="18"/>
        <w:szCs w:val="18"/>
      </w:rPr>
      <w:t xml:space="preserve">PZE Projektzeiterfassung</w:t>
    </w:r>
    <w:r>
      <w:rPr>
        <w:rFonts w:ascii="Arial" w:cs="Arial" w:eastAsia="Arial" w:hAnsi="Arial"/>
        <w:color w:val="555555"/>
        <w:sz w:val="18"/>
        <w:szCs w:val="18"/>
      </w:rPr>
      <w:t xml:space="preserve">  |  Skalierungsstrategie &amp; Hosting</w:t>
    </w:r>
    <w:r>
      <w:rPr>
        <w:rFonts w:ascii="Arial" w:cs="Arial" w:eastAsia="Arial" w:hAnsi="Arial"/>
        <w:color w:val="555555"/>
        <w:sz w:val="18"/>
        <w:szCs w:val="18"/>
      </w:rPr>
      <w:t xml:space="preserve">	Stand: Februar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2451" w:sz="6" w:space="6"/>
      </w:pBdr>
      <w:spacing w:before="400" w:after="160"/>
      <w:outlineLvl w:val="0"/>
    </w:pPr>
    <w:rPr>
      <w:rFonts w:ascii="Arial" w:cs="Arial" w:eastAsia="Arial" w:hAnsi="Arial"/>
      <w:b/>
      <w:bCs/>
      <w:color w:val="002451"/>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1A40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2026-02-21T08:41:55.028Z</dcterms:created>
  <dcterms:modified xsi:type="dcterms:W3CDTF">2026-02-21T08:41:55.029Z</dcterms:modified>
</cp:coreProperties>
</file>

<file path=docProps/custom.xml><?xml version="1.0" encoding="utf-8"?>
<Properties xmlns="http://schemas.openxmlformats.org/officeDocument/2006/custom-properties" xmlns:vt="http://schemas.openxmlformats.org/officeDocument/2006/docPropsVTypes"/>
</file>