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02451"/>
          <w:sz w:val="44"/>
          <w:szCs w:val="44"/>
        </w:rPr>
        <w:t xml:space="preserve">Entscheidungsvorlage</w:t>
      </w:r>
    </w:p>
    <w:p>
      <w:pPr>
        <w:spacing w:before="0" w:after="40"/>
      </w:pPr>
      <w:r>
        <w:rPr>
          <w:rFonts w:ascii="Arial" w:cs="Arial" w:eastAsia="Arial" w:hAnsi="Arial"/>
          <w:color w:val="4A4A4A"/>
          <w:sz w:val="28"/>
          <w:szCs w:val="28"/>
        </w:rPr>
        <w:t xml:space="preserve">Hosting-Strategie fuer PZE SaaS-Plattform</w:t>
      </w:r>
    </w:p>
    <w:p>
      <w:pPr>
        <w:pBdr>
          <w:bottom w:val="single" w:color="002451" w:sz="6" w:space="6"/>
        </w:pBdr>
        <w:spacing w:before="0" w:after="240"/>
      </w:pPr>
      <w:r>
        <w:rPr>
          <w:rFonts w:ascii="Arial" w:cs="Arial" w:eastAsia="Arial" w:hAnsi="Arial"/>
          <w:color w:val="4A4A4A"/>
          <w:sz w:val="24"/>
          <w:szCs w:val="24"/>
        </w:rPr>
        <w:t xml:space="preserve">Vercel/Supabase Cloud  vs.  Hetzner Eigenhosting</w:t>
      </w:r>
    </w:p>
    <w:p>
      <w:pPr>
        <w:spacing w:before="0" w:after="0"/>
      </w:pPr>
      <w:r>
        <w:rPr>
          <w:sz w:val="22"/>
          <w:szCs w:val="22"/>
        </w:rPr>
        <w:t xml:space="preserve"/>
      </w:r>
    </w:p>
    <w:p>
      <w:pPr>
        <w:pStyle w:val="Heading1"/>
        <w:spacing w:before="360" w:after="120"/>
      </w:pPr>
      <w:r>
        <w:rPr>
          <w:rFonts w:ascii="Arial" w:cs="Arial" w:eastAsia="Arial" w:hAnsi="Arial"/>
          <w:b/>
          <w:bCs/>
          <w:color w:val="002451"/>
          <w:sz w:val="28"/>
          <w:szCs w:val="28"/>
        </w:rPr>
        <w:t xml:space="preserve">1. Ausgangslage und Fragestellung</w:t>
      </w:r>
    </w:p>
    <w:p>
      <w:pPr>
        <w:spacing w:before="60" w:after="60"/>
      </w:pPr>
      <w:r>
        <w:rPr>
          <w:rFonts w:ascii="Arial" w:cs="Arial" w:eastAsia="Arial" w:hAnsi="Arial"/>
          <w:color w:val="4A4A4A"/>
          <w:sz w:val="22"/>
          <w:szCs w:val="22"/>
        </w:rPr>
        <w:t xml:space="preserve">Die PZE-Plattform wird aktuell auf den Cloud-Diensten Vercel (Hosting) und Supabase (Datenbank und Authentifizierung) betrieben. Im Rahmen der Vorbereitung des Produktivbetriebs stellt sich die strategische Frage, ob diese Infrastruktur langfristig beibehalten oder auf einen eigenen Server (Hetzner) migriert werden soll.</w:t>
      </w:r>
    </w:p>
    <w:p>
      <w:pPr>
        <w:spacing w:before="0" w:after="0"/>
      </w:pPr>
      <w:r>
        <w:rPr>
          <w:sz w:val="22"/>
          <w:szCs w:val="22"/>
        </w:rPr>
        <w:t xml:space="preserve"/>
      </w:r>
    </w:p>
    <w:p>
      <w:pPr>
        <w:spacing w:before="60" w:after="60"/>
      </w:pPr>
      <w:r>
        <w:rPr>
          <w:rFonts w:ascii="Arial" w:cs="Arial" w:eastAsia="Arial" w:hAnsi="Arial"/>
          <w:color w:val="4A4A4A"/>
          <w:sz w:val="22"/>
          <w:szCs w:val="22"/>
        </w:rPr>
        <w:t xml:space="preserve">Die Bewertung erfolgt anhand der drei Kriterien, die von der Geschaeftsleitung als vorrangig eingestuft wurden:</w:t>
      </w:r>
    </w:p>
    <w:p>
      <w:pPr>
        <w:pStyle w:val="ListParagraph"/>
        <w:numPr>
          <w:ilvl w:val="0"/>
          <w:numId w:val="2"/>
        </w:numPr>
        <w:spacing w:before="40" w:after="40"/>
      </w:pPr>
      <w:r>
        <w:rPr>
          <w:rFonts w:ascii="Arial" w:cs="Arial" w:eastAsia="Arial" w:hAnsi="Arial"/>
          <w:b w:val="false"/>
          <w:bCs w:val="false"/>
          <w:color w:val="4A4A4A"/>
          <w:sz w:val="22"/>
          <w:szCs w:val="22"/>
        </w:rPr>
        <w:t xml:space="preserve">DSGVO-Konformitaet und Datenschutzargumentation gegenueber Kunden</w:t>
      </w:r>
    </w:p>
    <w:p>
      <w:pPr>
        <w:pStyle w:val="ListParagraph"/>
        <w:numPr>
          <w:ilvl w:val="0"/>
          <w:numId w:val="2"/>
        </w:numPr>
        <w:spacing w:before="40" w:after="40"/>
      </w:pPr>
      <w:r>
        <w:rPr>
          <w:rFonts w:ascii="Arial" w:cs="Arial" w:eastAsia="Arial" w:hAnsi="Arial"/>
          <w:b w:val="false"/>
          <w:bCs w:val="false"/>
          <w:color w:val="4A4A4A"/>
          <w:sz w:val="22"/>
          <w:szCs w:val="22"/>
        </w:rPr>
        <w:t xml:space="preserve">Performance und Verfuegbarkeit fuer den Produktivbetrieb</w:t>
      </w:r>
    </w:p>
    <w:p>
      <w:pPr>
        <w:pStyle w:val="ListParagraph"/>
        <w:numPr>
          <w:ilvl w:val="0"/>
          <w:numId w:val="2"/>
        </w:numPr>
        <w:spacing w:before="40" w:after="40"/>
      </w:pPr>
      <w:r>
        <w:rPr>
          <w:rFonts w:ascii="Arial" w:cs="Arial" w:eastAsia="Arial" w:hAnsi="Arial"/>
          <w:b w:val="false"/>
          <w:bCs w:val="false"/>
          <w:color w:val="4A4A4A"/>
          <w:sz w:val="22"/>
          <w:szCs w:val="22"/>
        </w:rPr>
        <w:t xml:space="preserve">Langfristige Kostenstruktur</w:t>
      </w:r>
    </w:p>
    <w:p>
      <w:pPr>
        <w:spacing w:before="0" w:after="0"/>
      </w:pPr>
      <w:r>
        <w:rPr>
          <w:sz w:val="22"/>
          <w:szCs w:val="22"/>
        </w:rPr>
        <w:t xml:space="preserve"/>
      </w:r>
    </w:p>
    <w:p>
      <w:pPr>
        <w:pStyle w:val="Heading1"/>
        <w:spacing w:before="360" w:after="120"/>
      </w:pPr>
      <w:r>
        <w:rPr>
          <w:rFonts w:ascii="Arial" w:cs="Arial" w:eastAsia="Arial" w:hAnsi="Arial"/>
          <w:b/>
          <w:bCs/>
          <w:color w:val="002451"/>
          <w:sz w:val="28"/>
          <w:szCs w:val="28"/>
        </w:rPr>
        <w:t xml:space="preserve">2. Planungsgroesse: Erwartete Nutzung</w:t>
      </w:r>
    </w:p>
    <w:p>
      <w:pPr>
        <w:spacing w:before="60" w:after="60"/>
      </w:pPr>
      <w:r>
        <w:rPr>
          <w:rFonts w:ascii="Arial" w:cs="Arial" w:eastAsia="Arial" w:hAnsi="Arial"/>
          <w:color w:val="4A4A4A"/>
          <w:sz w:val="22"/>
          <w:szCs w:val="22"/>
        </w:rPr>
        <w:t xml:space="preserve">Die folgende Einschaetzung basiert auf dem geplanten Kundenausbau:</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Geplante Kundenfirmen</w:t>
            </w:r>
          </w:p>
        </w:tc>
        <w:tc>
          <w:tcPr>
            <w:tcW w:type="dxa" w:w="451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10 bis 15 Unternehmen</w:t>
            </w:r>
          </w:p>
        </w:tc>
      </w:tr>
      <w:tr>
        <w:tc>
          <w:tcPr>
            <w:tcW w:type="dxa" w:w="4513"/>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Mitarbeiter je Kunde (Durchschnitt)</w:t>
            </w:r>
          </w:p>
        </w:tc>
        <w:tc>
          <w:tcPr>
            <w:tcW w:type="dxa" w:w="451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3 bis 5 aktive Nutzer</w:t>
            </w:r>
          </w:p>
        </w:tc>
      </w:tr>
      <w:tr>
        <w:tc>
          <w:tcPr>
            <w:tcW w:type="dxa" w:w="4513"/>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Maximale Nutzerzahl gesamt</w:t>
            </w:r>
          </w:p>
        </w:tc>
        <w:tc>
          <w:tcPr>
            <w:tcW w:type="dxa" w:w="4513"/>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ca. 75 aktive Nutzer (weit unter allen Plattformgrenzen)</w:t>
            </w:r>
          </w:p>
        </w:tc>
      </w:tr>
      <w:tr>
        <w:tc>
          <w:tcPr>
            <w:tcW w:type="dxa" w:w="4513"/>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Nutzungsintensitaet</w:t>
            </w:r>
          </w:p>
        </w:tc>
        <w:tc>
          <w:tcPr>
            <w:tcW w:type="dxa" w:w="451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Gering bis mittel: ueberwiegend Zeiterfassung und PDF-Export</w:t>
            </w:r>
          </w:p>
        </w:tc>
      </w:tr>
      <w:tr>
        <w:tc>
          <w:tcPr>
            <w:tcW w:type="dxa" w:w="4513"/>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Datenvolumen (geschaetzt)</w:t>
            </w:r>
          </w:p>
        </w:tc>
        <w:tc>
          <w:tcPr>
            <w:tcW w:type="dxa" w:w="4513"/>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&lt; 100 MB Datenbank, kein Media-Storage</w:t>
            </w:r>
          </w:p>
        </w:tc>
      </w:tr>
    </w:tbl>
    <w:p>
      <w:pPr>
        <w:spacing w:before="0" w:after="0"/>
      </w:pPr>
      <w:r>
        <w:rPr>
          <w:sz w:val="22"/>
          <w:szCs w:val="22"/>
        </w:rPr>
        <w:t xml:space="preserve"/>
      </w:r>
    </w:p>
    <w:p>
      <w:pPr>
        <w:spacing w:before="60" w:after="60"/>
      </w:pPr>
      <w:r>
        <w:rPr>
          <w:rFonts w:ascii="Arial" w:cs="Arial" w:eastAsia="Arial" w:hAnsi="Arial"/>
          <w:b w:val="false"/>
          <w:bCs w:val="false"/>
          <w:i/>
          <w:iCs/>
          <w:color w:val="4A4A4A"/>
          <w:sz w:val="22"/>
          <w:szCs w:val="22"/>
        </w:rPr>
        <w:t xml:space="preserve">Fazit zur Kapazitaet: Die geplante Nutzung liegt deutlich unter den Grenzen aller betrachteten Plattformen. Kapazitaet ist kein Entscheidungskriterium - massgeblich sind Kosten, DSGVO und Betriebsstabilitaet.</w:t>
      </w:r>
    </w:p>
    <w:p>
      <w:pPr>
        <w:spacing w:before="0" w:after="0"/>
      </w:pPr>
      <w:r>
        <w:rPr>
          <w:sz w:val="44"/>
          <w:szCs w:val="44"/>
        </w:rPr>
        <w:t xml:space="preserve"/>
      </w:r>
    </w:p>
    <w:p>
      <w:pPr>
        <w:pStyle w:val="Heading1"/>
        <w:spacing w:before="360" w:after="120"/>
      </w:pPr>
      <w:r>
        <w:rPr>
          <w:rFonts w:ascii="Arial" w:cs="Arial" w:eastAsia="Arial" w:hAnsi="Arial"/>
          <w:b/>
          <w:bCs/>
          <w:color w:val="002451"/>
          <w:sz w:val="28"/>
          <w:szCs w:val="28"/>
        </w:rPr>
        <w:t xml:space="preserve">3. Kostenvergleich</w:t>
      </w:r>
    </w:p>
    <w:p>
      <w:pPr>
        <w:spacing w:before="60" w:after="60"/>
      </w:pPr>
      <w:r>
        <w:rPr>
          <w:rFonts w:ascii="Arial" w:cs="Arial" w:eastAsia="Arial" w:hAnsi="Arial"/>
          <w:color w:val="4A4A4A"/>
          <w:sz w:val="22"/>
          <w:szCs w:val="22"/>
        </w:rPr>
        <w:t xml:space="preserve">Alle Preise netto, Stand Februar 2026. USD-Betraege wurden mit 1,08 EUR/USD umgerechnet.</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Komponente</w:t>
            </w:r>
          </w:p>
        </w:tc>
        <w:tc>
          <w:tcPr>
            <w:tcW w:type="dxa" w:w="2400"/>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Free Tier</w:t>
            </w:r>
          </w:p>
        </w:tc>
        <w:tc>
          <w:tcPr>
            <w:tcW w:type="dxa" w:w="2400"/>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Paid (Pro)</w:t>
            </w:r>
          </w:p>
        </w:tc>
        <w:tc>
          <w:tcPr>
            <w:tcW w:type="dxa" w:w="2026"/>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Hetzner</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Supabase (Datenbank + Auth)</w:t>
            </w:r>
          </w:p>
        </w:tc>
        <w:tc>
          <w:tcPr>
            <w:tcW w:type="dxa" w:w="2400"/>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0 EUR/Monat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ca. 23 EUR/Monat</w:t>
            </w:r>
          </w:p>
        </w:tc>
        <w:tc>
          <w:tcPr>
            <w:tcW w:type="dxa" w:w="20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Entfaellt (selbst gehostet)</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Vercel (Hosting Next.js)</w:t>
            </w:r>
          </w:p>
        </w:tc>
        <w:tc>
          <w:tcPr>
            <w:tcW w:type="dxa" w:w="2400"/>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0 EUR/Monat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ca. 19 EUR/Monat</w:t>
            </w:r>
          </w:p>
        </w:tc>
        <w:tc>
          <w:tcPr>
            <w:tcW w:type="dxa" w:w="20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Entfaellt (auf Hetzner)</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Hetzner VPS (CX32)</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Nicht zutreffend</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Nicht zutreffend</w:t>
            </w:r>
          </w:p>
        </w:tc>
        <w:tc>
          <w:tcPr>
            <w:tcW w:type="dxa" w:w="2026"/>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ca. 7 EUR/Monat</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Auth-Ersatz (z.B. NextAuth)</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Entfaellt</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Entfaellt</w:t>
            </w:r>
          </w:p>
        </w:tc>
        <w:tc>
          <w:tcPr>
            <w:tcW w:type="dxa" w:w="20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Open Source, 0 EUR/Monat</w:t>
            </w:r>
          </w:p>
        </w:tc>
      </w:tr>
      <w:tr>
        <w:tc>
          <w:tcPr>
            <w:tcW w:type="dxa" w:w="2200"/>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GESAMT laufend</w:t>
            </w:r>
          </w:p>
        </w:tc>
        <w:tc>
          <w:tcPr>
            <w:tcW w:type="dxa" w:w="2400"/>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left"/>
            </w:pPr>
            <w:r>
              <w:rPr>
                <w:rFonts w:ascii="Arial" w:cs="Arial" w:eastAsia="Arial" w:hAnsi="Arial"/>
                <w:b/>
                <w:bCs/>
                <w:color w:val="C7A000"/>
                <w:sz w:val="20"/>
                <w:szCs w:val="20"/>
              </w:rPr>
              <w:t xml:space="preserve">0 EUR/Monat *</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4A4A4A"/>
                <w:sz w:val="20"/>
                <w:szCs w:val="20"/>
              </w:rPr>
              <w:t xml:space="preserve">ca. 42 EUR/Monat</w:t>
            </w:r>
          </w:p>
        </w:tc>
        <w:tc>
          <w:tcPr>
            <w:tcW w:type="dxa" w:w="2026"/>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bCs/>
                <w:color w:val="4A4A4A"/>
                <w:sz w:val="20"/>
                <w:szCs w:val="20"/>
              </w:rPr>
              <w:t xml:space="preserve">ca. 7 EUR/Monat</w:t>
            </w:r>
          </w:p>
        </w:tc>
      </w:tr>
    </w:tbl>
    <w:p>
      <w:pPr>
        <w:spacing w:before="0" w:after="0"/>
      </w:pPr>
      <w:r>
        <w:rPr>
          <w:sz w:val="22"/>
          <w:szCs w:val="22"/>
        </w:rPr>
        <w:t xml:space="preserve"/>
      </w:r>
    </w:p>
    <w:p>
      <w:pPr>
        <w:spacing w:before="60" w:after="60"/>
      </w:pPr>
      <w:r>
        <w:rPr>
          <w:rFonts w:ascii="Arial" w:cs="Arial" w:eastAsia="Arial" w:hAnsi="Arial"/>
          <w:i/>
          <w:iCs/>
          <w:color w:val="4A4A4A"/>
          <w:sz w:val="22"/>
          <w:szCs w:val="22"/>
        </w:rPr>
        <w:t xml:space="preserve">* Free Tier Einschraenkung: Supabase pausiert Projekte nach 7 Tagen ohne Aktivitaet. Fuer den Produktivbetrieb ist dies nicht akzeptabel - Supabase Pro (23 EUR/Monat) ist das Minimum.</w:t>
      </w:r>
    </w:p>
    <w:p>
      <w:pPr>
        <w:spacing w:before="0" w:after="0"/>
      </w:pPr>
      <w:r>
        <w:rPr>
          <w:sz w:val="22"/>
          <w:szCs w:val="22"/>
        </w:rPr>
        <w:t xml:space="preserve"/>
      </w:r>
    </w:p>
    <w:p>
      <w:pPr>
        <w:spacing w:before="60" w:after="60"/>
      </w:pPr>
      <w:r>
        <w:rPr>
          <w:rFonts w:ascii="Arial" w:cs="Arial" w:eastAsia="Arial" w:hAnsi="Arial"/>
          <w:b/>
          <w:bCs/>
          <w:color w:val="4A4A4A"/>
          <w:sz w:val="22"/>
          <w:szCs w:val="22"/>
        </w:rPr>
        <w:t xml:space="preserve">Kostenersparnis Hetzner gegenueber Supabase Pro + Vercel: ca. 35 EUR/Monat = ca. 420 EUR/Jahr (laufende Kosten). Hinzu kommen einmalige Migrationskosten (siehe Abschnitt 5).</w:t>
      </w:r>
    </w:p>
    <w:p>
      <w:pPr>
        <w:spacing w:before="0" w:after="0"/>
      </w:pPr>
      <w:r>
        <w:rPr>
          <w:sz w:val="44"/>
          <w:szCs w:val="44"/>
        </w:rPr>
        <w:t xml:space="preserve"/>
      </w:r>
    </w:p>
    <w:p>
      <w:pPr>
        <w:pStyle w:val="Heading1"/>
        <w:spacing w:before="360" w:after="120"/>
      </w:pPr>
      <w:r>
        <w:rPr>
          <w:rFonts w:ascii="Arial" w:cs="Arial" w:eastAsia="Arial" w:hAnsi="Arial"/>
          <w:b/>
          <w:bCs/>
          <w:color w:val="002451"/>
          <w:sz w:val="28"/>
          <w:szCs w:val="28"/>
        </w:rPr>
        <w:t xml:space="preserve">4. Kapazitaet und Verfuegbarkeit</w:t>
      </w:r>
    </w:p>
    <w:p>
      <w:pPr>
        <w:pStyle w:val="Heading2"/>
        <w:spacing w:before="240" w:after="80"/>
      </w:pPr>
      <w:r>
        <w:rPr>
          <w:rFonts w:ascii="Arial" w:cs="Arial" w:eastAsia="Arial" w:hAnsi="Arial"/>
          <w:b/>
          <w:bCs/>
          <w:color w:val="002451"/>
          <w:sz w:val="24"/>
          <w:szCs w:val="24"/>
        </w:rPr>
        <w:t xml:space="preserve">4.1 Supabase Tier-Vergleich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 / Kriterium</w:t>
            </w:r>
          </w:p>
        </w:tc>
        <w:tc>
          <w:tcPr>
            <w:tcW w:type="dxa" w:w="3013"/>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Supabase Free Tier</w:t>
            </w:r>
          </w:p>
        </w:tc>
        <w:tc>
          <w:tcPr>
            <w:tcW w:type="dxa" w:w="3013"/>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Supabase Pro</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Monatlich aktive Nutzer</w:t>
            </w:r>
          </w:p>
        </w:tc>
        <w:tc>
          <w:tcPr>
            <w:tcW w:type="dxa" w:w="3013"/>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50.000 MAU</w:t>
            </w:r>
          </w:p>
        </w:tc>
        <w:tc>
          <w:tcPr>
            <w:tcW w:type="dxa" w:w="3013"/>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100.000 MAU</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Datenbank-Speicher</w:t>
            </w:r>
          </w:p>
        </w:tc>
        <w:tc>
          <w:tcPr>
            <w:tcW w:type="dxa" w:w="301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500 MB</w:t>
            </w:r>
          </w:p>
        </w:tc>
        <w:tc>
          <w:tcPr>
            <w:tcW w:type="dxa" w:w="3013"/>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8 GB</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Projekt-Inaktivitaet</w:t>
            </w:r>
          </w:p>
        </w:tc>
        <w:tc>
          <w:tcPr>
            <w:tcW w:type="dxa" w:w="3013"/>
            <w:gridSpan w:val="1"/>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val="false"/>
                <w:bCs w:val="false"/>
                <w:color w:val="B00000"/>
                <w:sz w:val="20"/>
                <w:szCs w:val="20"/>
              </w:rPr>
              <w:t xml:space="preserve">Pause nach 7 Tagen (!)</w:t>
            </w:r>
          </w:p>
        </w:tc>
        <w:tc>
          <w:tcPr>
            <w:tcW w:type="dxa" w:w="3013"/>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Kein Pause</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Backup</w:t>
            </w:r>
          </w:p>
        </w:tc>
        <w:tc>
          <w:tcPr>
            <w:tcW w:type="dxa" w:w="3013"/>
            <w:gridSpan w:val="1"/>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val="false"/>
                <w:bCs w:val="false"/>
                <w:color w:val="B00000"/>
                <w:sz w:val="20"/>
                <w:szCs w:val="20"/>
              </w:rPr>
              <w:t xml:space="preserve">Kein Backup</w:t>
            </w:r>
          </w:p>
        </w:tc>
        <w:tc>
          <w:tcPr>
            <w:tcW w:type="dxa" w:w="3013"/>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Taeglich</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SLA / Support</w:t>
            </w:r>
          </w:p>
        </w:tc>
        <w:tc>
          <w:tcPr>
            <w:tcW w:type="dxa" w:w="3013"/>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left"/>
            </w:pPr>
            <w:r>
              <w:rPr>
                <w:rFonts w:ascii="Arial" w:cs="Arial" w:eastAsia="Arial" w:hAnsi="Arial"/>
                <w:b w:val="false"/>
                <w:bCs w:val="false"/>
                <w:color w:val="C7A000"/>
                <w:sz w:val="20"/>
                <w:szCs w:val="20"/>
              </w:rPr>
              <w:t xml:space="preserve">Community only</w:t>
            </w:r>
          </w:p>
        </w:tc>
        <w:tc>
          <w:tcPr>
            <w:tcW w:type="dxa" w:w="3013"/>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E-Mail Support</w:t>
            </w:r>
          </w:p>
        </w:tc>
      </w:tr>
      <w:tr>
        <w:tc>
          <w:tcPr>
            <w:tcW w:type="dxa" w:w="3000"/>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Unser Bedarf (15 Kunden, 75 Nutzer)</w:t>
            </w:r>
          </w:p>
        </w:tc>
        <w:tc>
          <w:tcPr>
            <w:tcW w:type="dxa" w:w="3013"/>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left"/>
            </w:pPr>
            <w:r>
              <w:rPr>
                <w:rFonts w:ascii="Arial" w:cs="Arial" w:eastAsia="Arial" w:hAnsi="Arial"/>
                <w:b/>
                <w:bCs/>
                <w:color w:val="C7A000"/>
                <w:sz w:val="20"/>
                <w:szCs w:val="20"/>
              </w:rPr>
              <w:t xml:space="preserve">Technisch ausreichend, aber riskant</w:t>
            </w:r>
          </w:p>
        </w:tc>
        <w:tc>
          <w:tcPr>
            <w:tcW w:type="dxa" w:w="3013"/>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bCs/>
                <w:color w:val="4A4A4A"/>
                <w:sz w:val="20"/>
                <w:szCs w:val="20"/>
              </w:rPr>
              <w:t xml:space="preserve">Weit unter allen Grenzen</w:t>
            </w:r>
          </w:p>
        </w:tc>
      </w:tr>
    </w:tbl>
    <w:p>
      <w:pPr>
        <w:spacing w:before="0" w:after="0"/>
      </w:pPr>
      <w:r>
        <w:rPr>
          <w:sz w:val="22"/>
          <w:szCs w:val="22"/>
        </w:rPr>
        <w:t xml:space="preserve"/>
      </w:r>
    </w:p>
    <w:p>
      <w:pPr>
        <w:spacing w:before="60" w:after="60"/>
      </w:pPr>
      <w:r>
        <w:rPr>
          <w:rFonts w:ascii="Arial" w:cs="Arial" w:eastAsia="Arial" w:hAnsi="Arial"/>
          <w:color w:val="4A4A4A"/>
          <w:sz w:val="22"/>
          <w:szCs w:val="22"/>
        </w:rPr>
        <w:t xml:space="preserve">Performance-Bewertung: Bei der geplanten Nutzerzahl (max. 75) ist der Unterschied zwischen den Plattformen in der Praxis nicht wahrnehmbar. Alle Optionen sind fuer diesen Massstab deutlich ueberdimensioniert.</w:t>
      </w:r>
    </w:p>
    <w:p>
      <w:pPr>
        <w:spacing w:before="0" w:after="0"/>
      </w:pPr>
      <w:r>
        <w:rPr>
          <w:sz w:val="44"/>
          <w:szCs w:val="44"/>
        </w:rPr>
        <w:t xml:space="preserve"/>
      </w:r>
    </w:p>
    <w:p>
      <w:pPr>
        <w:pStyle w:val="Heading1"/>
        <w:spacing w:before="360" w:after="120"/>
      </w:pPr>
      <w:r>
        <w:rPr>
          <w:rFonts w:ascii="Arial" w:cs="Arial" w:eastAsia="Arial" w:hAnsi="Arial"/>
          <w:b/>
          <w:bCs/>
          <w:color w:val="002451"/>
          <w:sz w:val="28"/>
          <w:szCs w:val="28"/>
        </w:rPr>
        <w:t xml:space="preserve">5. Datenschutz und DSGVO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42"/>
        <w:gridCol w:w="2242"/>
        <w:gridCol w:w="2342"/>
      </w:tblGrid>
      <w:tr>
        <w:trPr>
          <w:tblHeader/>
        </w:trPr>
        <w:tc>
          <w:tcPr>
            <w:tcW w:type="dxa" w:w="2200"/>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Kriterium</w:t>
            </w:r>
          </w:p>
        </w:tc>
        <w:tc>
          <w:tcPr>
            <w:tcW w:type="dxa" w:w="2242"/>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Supabase</w:t>
            </w:r>
          </w:p>
        </w:tc>
        <w:tc>
          <w:tcPr>
            <w:tcW w:type="dxa" w:w="2242"/>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Vercel</w:t>
            </w:r>
          </w:p>
        </w:tc>
        <w:tc>
          <w:tcPr>
            <w:tcW w:type="dxa" w:w="2342"/>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Hetzner</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Serverstandort</w:t>
            </w:r>
          </w:p>
        </w:tc>
        <w:tc>
          <w:tcPr>
            <w:tcW w:type="dxa" w:w="2242"/>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EU moeglich (Frankfurt)</w:t>
            </w:r>
          </w:p>
        </w:tc>
        <w:tc>
          <w:tcPr>
            <w:tcW w:type="dxa" w:w="2242"/>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left"/>
            </w:pPr>
            <w:r>
              <w:rPr>
                <w:rFonts w:ascii="Arial" w:cs="Arial" w:eastAsia="Arial" w:hAnsi="Arial"/>
                <w:b w:val="false"/>
                <w:bCs w:val="false"/>
                <w:color w:val="C7A000"/>
                <w:sz w:val="20"/>
                <w:szCs w:val="20"/>
              </w:rPr>
              <w:t xml:space="preserve">EU moeglich, Sitz USA</w:t>
            </w:r>
          </w:p>
        </w:tc>
        <w:tc>
          <w:tcPr>
            <w:tcW w:type="dxa" w:w="2342"/>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DE (Nuernberg/Falkenstein)</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Unternehmenssitz</w:t>
            </w:r>
          </w:p>
        </w:tc>
        <w:tc>
          <w:tcPr>
            <w:tcW w:type="dxa" w:w="2242"/>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left"/>
            </w:pPr>
            <w:r>
              <w:rPr>
                <w:rFonts w:ascii="Arial" w:cs="Arial" w:eastAsia="Arial" w:hAnsi="Arial"/>
                <w:b w:val="false"/>
                <w:bCs w:val="false"/>
                <w:color w:val="C7A000"/>
                <w:sz w:val="20"/>
                <w:szCs w:val="20"/>
              </w:rPr>
              <w:t xml:space="preserve">USA (San Francisco)</w:t>
            </w:r>
          </w:p>
        </w:tc>
        <w:tc>
          <w:tcPr>
            <w:tcW w:type="dxa" w:w="2242"/>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left"/>
            </w:pPr>
            <w:r>
              <w:rPr>
                <w:rFonts w:ascii="Arial" w:cs="Arial" w:eastAsia="Arial" w:hAnsi="Arial"/>
                <w:b w:val="false"/>
                <w:bCs w:val="false"/>
                <w:color w:val="C7A000"/>
                <w:sz w:val="20"/>
                <w:szCs w:val="20"/>
              </w:rPr>
              <w:t xml:space="preserve">USA (San Francisco)</w:t>
            </w:r>
          </w:p>
        </w:tc>
        <w:tc>
          <w:tcPr>
            <w:tcW w:type="dxa" w:w="2342"/>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Deutschland (Bayern)</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AVV verfuegbar</w:t>
            </w:r>
          </w:p>
        </w:tc>
        <w:tc>
          <w:tcPr>
            <w:tcW w:type="dxa" w:w="2242"/>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Ja</w:t>
            </w:r>
          </w:p>
        </w:tc>
        <w:tc>
          <w:tcPr>
            <w:tcW w:type="dxa" w:w="2242"/>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Ja</w:t>
            </w:r>
          </w:p>
        </w:tc>
        <w:tc>
          <w:tcPr>
            <w:tcW w:type="dxa" w:w="2342"/>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Ja</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Datentransfer USA (Schrems II)</w:t>
            </w:r>
          </w:p>
        </w:tc>
        <w:tc>
          <w:tcPr>
            <w:tcW w:type="dxa" w:w="2242"/>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left"/>
            </w:pPr>
            <w:r>
              <w:rPr>
                <w:rFonts w:ascii="Arial" w:cs="Arial" w:eastAsia="Arial" w:hAnsi="Arial"/>
                <w:b w:val="false"/>
                <w:bCs w:val="false"/>
                <w:color w:val="C7A000"/>
                <w:sz w:val="20"/>
                <w:szCs w:val="20"/>
              </w:rPr>
              <w:t xml:space="preserve">Risiko pruefen</w:t>
            </w:r>
          </w:p>
        </w:tc>
        <w:tc>
          <w:tcPr>
            <w:tcW w:type="dxa" w:w="2242"/>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left"/>
            </w:pPr>
            <w:r>
              <w:rPr>
                <w:rFonts w:ascii="Arial" w:cs="Arial" w:eastAsia="Arial" w:hAnsi="Arial"/>
                <w:b w:val="false"/>
                <w:bCs w:val="false"/>
                <w:color w:val="C7A000"/>
                <w:sz w:val="20"/>
                <w:szCs w:val="20"/>
              </w:rPr>
              <w:t xml:space="preserve">Risiko pruefen</w:t>
            </w:r>
          </w:p>
        </w:tc>
        <w:tc>
          <w:tcPr>
            <w:tcW w:type="dxa" w:w="2342"/>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Kein Risiko</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DSGVO-Argumentation ggue. Kunden</w:t>
            </w:r>
          </w:p>
        </w:tc>
        <w:tc>
          <w:tcPr>
            <w:tcW w:type="dxa" w:w="2242"/>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left"/>
            </w:pPr>
            <w:r>
              <w:rPr>
                <w:rFonts w:ascii="Arial" w:cs="Arial" w:eastAsia="Arial" w:hAnsi="Arial"/>
                <w:b w:val="false"/>
                <w:bCs w:val="false"/>
                <w:color w:val="C7A000"/>
                <w:sz w:val="20"/>
                <w:szCs w:val="20"/>
              </w:rPr>
              <w:t xml:space="preserve">Moeglich mit Aufwand</w:t>
            </w:r>
          </w:p>
        </w:tc>
        <w:tc>
          <w:tcPr>
            <w:tcW w:type="dxa" w:w="2242"/>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left"/>
            </w:pPr>
            <w:r>
              <w:rPr>
                <w:rFonts w:ascii="Arial" w:cs="Arial" w:eastAsia="Arial" w:hAnsi="Arial"/>
                <w:b w:val="false"/>
                <w:bCs w:val="false"/>
                <w:color w:val="C7A000"/>
                <w:sz w:val="20"/>
                <w:szCs w:val="20"/>
              </w:rPr>
              <w:t xml:space="preserve">Moeglich mit Aufwand</w:t>
            </w:r>
          </w:p>
        </w:tc>
        <w:tc>
          <w:tcPr>
            <w:tcW w:type="dxa" w:w="2342"/>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Stark (dt. Anbieter)</w:t>
            </w:r>
          </w:p>
        </w:tc>
      </w:tr>
    </w:tbl>
    <w:p>
      <w:pPr>
        <w:spacing w:before="0" w:after="0"/>
      </w:pPr>
      <w:r>
        <w:rPr>
          <w:sz w:val="22"/>
          <w:szCs w:val="22"/>
        </w:rPr>
        <w:t xml:space="preserve"/>
      </w:r>
    </w:p>
    <w:p>
      <w:pPr>
        <w:spacing w:before="60" w:after="60"/>
      </w:pPr>
      <w:r>
        <w:rPr>
          <w:rFonts w:ascii="Arial" w:cs="Arial" w:eastAsia="Arial" w:hAnsi="Arial"/>
          <w:i/>
          <w:iCs/>
          <w:color w:val="4A4A4A"/>
          <w:sz w:val="22"/>
          <w:szCs w:val="22"/>
        </w:rPr>
        <w:t xml:space="preserve">Bewertung: Vercel und Supabase sind DSGVO-konform betreibbar, wenn EU-Regionen gewaehlt und AVV-Vertraege abgeschlossen werden. Das Risiko nach Schrems II (Datenuebermittlung in die USA) ist rechtlich nicht endgueltig geklaert und kann in Kundendiskussionen problematisch sein.</w:t>
      </w:r>
    </w:p>
    <w:p>
      <w:pPr>
        <w:spacing w:before="0" w:after="0"/>
      </w:pPr>
      <w:r>
        <w:rPr>
          <w:sz w:val="22"/>
          <w:szCs w:val="22"/>
        </w:rPr>
        <w:t xml:space="preserve"/>
      </w:r>
    </w:p>
    <w:p>
      <w:pPr>
        <w:spacing w:before="60" w:after="60"/>
      </w:pPr>
      <w:r>
        <w:rPr>
          <w:rFonts w:ascii="Arial" w:cs="Arial" w:eastAsia="Arial" w:hAnsi="Arial"/>
          <w:b/>
          <w:bCs/>
          <w:color w:val="4A4A4A"/>
          <w:sz w:val="22"/>
          <w:szCs w:val="22"/>
        </w:rPr>
        <w:t xml:space="preserve">Hetzner bietet das staerkste DSGVO-Profil: deutsches Unternehmen, deutsche Rechenzentren, kein Datentransfer in die USA. Dies ist das stichhaltigste Argument gegenueber datenschutzsensiblen Kunden (z.B. Steuerkanzleien, mittelstaendische Produktionsunternehmen).</w:t>
      </w:r>
    </w:p>
    <w:p>
      <w:pPr>
        <w:spacing w:before="0" w:after="0"/>
      </w:pPr>
      <w:r>
        <w:rPr>
          <w:sz w:val="44"/>
          <w:szCs w:val="44"/>
        </w:rPr>
        <w:t xml:space="preserve"/>
      </w:r>
    </w:p>
    <w:p>
      <w:pPr>
        <w:pStyle w:val="Heading1"/>
        <w:spacing w:before="360" w:after="120"/>
      </w:pPr>
      <w:r>
        <w:rPr>
          <w:rFonts w:ascii="Arial" w:cs="Arial" w:eastAsia="Arial" w:hAnsi="Arial"/>
          <w:b/>
          <w:bCs/>
          <w:color w:val="002451"/>
          <w:sz w:val="28"/>
          <w:szCs w:val="28"/>
        </w:rPr>
        <w:t xml:space="preserve">6. Migrationsaufwand Hetzner</w:t>
      </w:r>
    </w:p>
    <w:p>
      <w:pPr>
        <w:spacing w:before="60" w:after="60"/>
      </w:pPr>
      <w:r>
        <w:rPr>
          <w:rFonts w:ascii="Arial" w:cs="Arial" w:eastAsia="Arial" w:hAnsi="Arial"/>
          <w:color w:val="4A4A4A"/>
          <w:sz w:val="22"/>
          <w:szCs w:val="22"/>
        </w:rPr>
        <w:t xml:space="preserve">Die Migration von Vercel/Supabase zu einem eigenen Hetzner-Server ist technisch machbar, erfordert aber erheblichen Einmalaufwand. Der groesste Posten ist der Ersatz des Supabase-Authentifizierungssystems, das tief in PZE integriert ist.</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2506"/>
        <w:gridCol w:w="2507"/>
      </w:tblGrid>
      <w:tr>
        <w:trPr>
          <w:tblHeader/>
        </w:trPr>
        <w:tc>
          <w:tcPr>
            <w:tcW w:type="dxa" w:w="4013"/>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Aufgabe</w:t>
            </w:r>
          </w:p>
        </w:tc>
        <w:tc>
          <w:tcPr>
            <w:tcW w:type="dxa" w:w="2506"/>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Aufwand (h)</w:t>
            </w:r>
          </w:p>
        </w:tc>
        <w:tc>
          <w:tcPr>
            <w:tcW w:type="dxa" w:w="2507"/>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Einmalig / Laufend</w:t>
            </w:r>
          </w:p>
        </w:tc>
      </w:tr>
      <w:tr>
        <w:tc>
          <w:tcPr>
            <w:tcW w:type="dxa" w:w="4013"/>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Server aufsetzen (Nginx, SSL, Firewall)</w:t>
            </w:r>
          </w:p>
        </w:tc>
        <w:tc>
          <w:tcPr>
            <w:tcW w:type="dxa" w:w="25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4 - 8 h</w:t>
            </w:r>
          </w:p>
        </w:tc>
        <w:tc>
          <w:tcPr>
            <w:tcW w:type="dxa" w:w="2507"/>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Einmalig</w:t>
            </w:r>
          </w:p>
        </w:tc>
      </w:tr>
      <w:tr>
        <w:tc>
          <w:tcPr>
            <w:tcW w:type="dxa" w:w="4013"/>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PostgreSQL installieren + Daten migrieren</w:t>
            </w:r>
          </w:p>
        </w:tc>
        <w:tc>
          <w:tcPr>
            <w:tcW w:type="dxa" w:w="25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2 - 4 h</w:t>
            </w:r>
          </w:p>
        </w:tc>
        <w:tc>
          <w:tcPr>
            <w:tcW w:type="dxa" w:w="2507"/>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Einmalig</w:t>
            </w:r>
          </w:p>
        </w:tc>
      </w:tr>
      <w:tr>
        <w:tc>
          <w:tcPr>
            <w:tcW w:type="dxa" w:w="4013"/>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Supabase Auth ersetzen (z.B. NextAuth.js)</w:t>
            </w:r>
          </w:p>
        </w:tc>
        <w:tc>
          <w:tcPr>
            <w:tcW w:type="dxa" w:w="2506"/>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center"/>
            </w:pPr>
            <w:r>
              <w:rPr>
                <w:rFonts w:ascii="Arial" w:cs="Arial" w:eastAsia="Arial" w:hAnsi="Arial"/>
                <w:b/>
                <w:bCs/>
                <w:color w:val="C7A000"/>
                <w:sz w:val="20"/>
                <w:szCs w:val="20"/>
              </w:rPr>
              <w:t xml:space="preserve">20 - 40 h</w:t>
            </w:r>
          </w:p>
        </w:tc>
        <w:tc>
          <w:tcPr>
            <w:tcW w:type="dxa" w:w="2507"/>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Einmalig</w:t>
            </w:r>
          </w:p>
        </w:tc>
      </w:tr>
      <w:tr>
        <w:tc>
          <w:tcPr>
            <w:tcW w:type="dxa" w:w="4013"/>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CI/CD Pipeline (Deployment-Workflow)</w:t>
            </w:r>
          </w:p>
        </w:tc>
        <w:tc>
          <w:tcPr>
            <w:tcW w:type="dxa" w:w="25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4 - 8 h</w:t>
            </w:r>
          </w:p>
        </w:tc>
        <w:tc>
          <w:tcPr>
            <w:tcW w:type="dxa" w:w="2507"/>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Einmalig</w:t>
            </w:r>
          </w:p>
        </w:tc>
      </w:tr>
      <w:tr>
        <w:tc>
          <w:tcPr>
            <w:tcW w:type="dxa" w:w="4013"/>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Test, Debugging, Abnahme</w:t>
            </w:r>
          </w:p>
        </w:tc>
        <w:tc>
          <w:tcPr>
            <w:tcW w:type="dxa" w:w="25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8 - 16 h</w:t>
            </w:r>
          </w:p>
        </w:tc>
        <w:tc>
          <w:tcPr>
            <w:tcW w:type="dxa" w:w="2507"/>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Einmalig</w:t>
            </w:r>
          </w:p>
        </w:tc>
      </w:tr>
      <w:tr>
        <w:tc>
          <w:tcPr>
            <w:tcW w:type="dxa" w:w="4013"/>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Server-Wartung / Updates (laufend)</w:t>
            </w:r>
          </w:p>
        </w:tc>
        <w:tc>
          <w:tcPr>
            <w:tcW w:type="dxa" w:w="25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1 - 2 h/Monat</w:t>
            </w:r>
          </w:p>
        </w:tc>
        <w:tc>
          <w:tcPr>
            <w:tcW w:type="dxa" w:w="2507"/>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left"/>
            </w:pPr>
            <w:r>
              <w:rPr>
                <w:rFonts w:ascii="Arial" w:cs="Arial" w:eastAsia="Arial" w:hAnsi="Arial"/>
                <w:b w:val="false"/>
                <w:bCs w:val="false"/>
                <w:color w:val="C7A000"/>
                <w:sz w:val="20"/>
                <w:szCs w:val="20"/>
              </w:rPr>
              <w:t xml:space="preserve">Laufend</w:t>
            </w:r>
          </w:p>
        </w:tc>
      </w:tr>
      <w:tr>
        <w:tc>
          <w:tcPr>
            <w:tcW w:type="dxa" w:w="4013"/>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GESAMTAUFWAND (einmalig)</w:t>
            </w:r>
          </w:p>
        </w:tc>
        <w:tc>
          <w:tcPr>
            <w:tcW w:type="dxa" w:w="2506"/>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center"/>
            </w:pPr>
            <w:r>
              <w:rPr>
                <w:rFonts w:ascii="Arial" w:cs="Arial" w:eastAsia="Arial" w:hAnsi="Arial"/>
                <w:b/>
                <w:bCs/>
                <w:color w:val="C7A000"/>
                <w:sz w:val="20"/>
                <w:szCs w:val="20"/>
              </w:rPr>
              <w:t xml:space="preserve">38 - 76 h</w:t>
            </w:r>
          </w:p>
        </w:tc>
        <w:tc>
          <w:tcPr>
            <w:tcW w:type="dxa" w:w="2507"/>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4A4A4A"/>
                <w:sz w:val="20"/>
                <w:szCs w:val="20"/>
              </w:rPr>
              <w:t xml:space="preserve">Einmalig</w:t>
            </w:r>
          </w:p>
        </w:tc>
      </w:tr>
    </w:tbl>
    <w:p>
      <w:pPr>
        <w:spacing w:before="0" w:after="0"/>
      </w:pPr>
      <w:r>
        <w:rPr>
          <w:sz w:val="22"/>
          <w:szCs w:val="22"/>
        </w:rPr>
        <w:t xml:space="preserve"/>
      </w:r>
    </w:p>
    <w:p>
      <w:pPr>
        <w:spacing w:before="60" w:after="60"/>
      </w:pPr>
      <w:r>
        <w:rPr>
          <w:rFonts w:ascii="Arial" w:cs="Arial" w:eastAsia="Arial" w:hAnsi="Arial"/>
          <w:color w:val="4A4A4A"/>
          <w:sz w:val="22"/>
          <w:szCs w:val="22"/>
        </w:rPr>
        <w:t xml:space="preserve">Empfohlene Hetzner-Konfiguration: CX32 (4 vCPU, 8 GB RAM, 80 GB SSD, 20 TB Traffic/Monat) fuer ca. 6,80 EUR/Monat. Standort: Nuernberg oder Falkenstein (Deutschland).</w:t>
      </w:r>
    </w:p>
    <w:p>
      <w:pPr>
        <w:spacing w:before="0" w:after="0"/>
      </w:pPr>
      <w:r>
        <w:rPr>
          <w:sz w:val="22"/>
          <w:szCs w:val="22"/>
        </w:rPr>
        <w:t xml:space="preserve"/>
      </w:r>
    </w:p>
    <w:p>
      <w:pPr>
        <w:pBdr>
          <w:left w:val="single" w:color="C7A000" w:sz="12"/>
        </w:pBdr>
        <w:shd w:fill="FFF8DC" w:val="clear"/>
        <w:spacing w:before="120" w:after="120"/>
        <w:ind w:left="240" w:right="240"/>
      </w:pPr>
      <w:r>
        <w:rPr>
          <w:rFonts w:ascii="Arial" w:cs="Arial" w:eastAsia="Arial" w:hAnsi="Arial"/>
          <w:i/>
          <w:iCs/>
          <w:color w:val="4A4A4A"/>
          <w:sz w:val="20"/>
          <w:szCs w:val="20"/>
        </w:rPr>
        <w:t xml:space="preserve">Hinweis: Der Einmalaufwand von 38-76 Stunden entspricht bei externem DevOps-Beauftragten (80-120 EUR/h) einem Projektbudget von ca. 3.000 bis 9.000 EUR. Bei interner Ausfuehrung (Eigenleistung) reduziert sich dies auf den reinen Zeitaufwand.</w:t>
      </w:r>
    </w:p>
    <w:p>
      <w:pPr>
        <w:spacing w:before="0" w:after="0"/>
      </w:pPr>
      <w:r>
        <w:rPr>
          <w:sz w:val="44"/>
          <w:szCs w:val="44"/>
        </w:rPr>
        <w:t xml:space="preserve"/>
      </w:r>
    </w:p>
    <w:p>
      <w:pPr>
        <w:pStyle w:val="Heading1"/>
        <w:spacing w:before="360" w:after="120"/>
      </w:pPr>
      <w:r>
        <w:rPr>
          <w:rFonts w:ascii="Arial" w:cs="Arial" w:eastAsia="Arial" w:hAnsi="Arial"/>
          <w:b/>
          <w:bCs/>
          <w:color w:val="002451"/>
          <w:sz w:val="28"/>
          <w:szCs w:val="28"/>
        </w:rPr>
        <w:t xml:space="preserve">7. Handlungsempfehlung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3263"/>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Empfehlung</w:t>
            </w:r>
          </w:p>
        </w:tc>
        <w:tc>
          <w:tcPr>
            <w:tcW w:type="dxa" w:w="3263"/>
            <w:gridSpan w:val="1"/>
            <w:tcBorders>
              <w:top w:val="single" w:color="CCCCCC" w:sz="1"/>
              <w:left w:val="single" w:color="CCCCCC" w:sz="1"/>
              <w:bottom w:val="single" w:color="CCCCCC" w:sz="1"/>
              <w:right w:val="single" w:color="CCCCCC" w:sz="1"/>
            </w:tcBorders>
            <w:shd w:fill="0024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Kosten / Aufwand</w:t>
            </w:r>
          </w:p>
        </w:tc>
      </w:tr>
      <w:tr>
        <w:tc>
          <w:tcPr>
            <w:tcW w:type="dxa" w:w="25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Jetzt (Testbetrieb)</w:t>
            </w:r>
          </w:p>
        </w:tc>
        <w:tc>
          <w:tcPr>
            <w:tcW w:type="dxa" w:w="326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Supabase Pro + Vercel Hobby, EU-Server waehlen, AVV abschliessen</w:t>
            </w:r>
          </w:p>
        </w:tc>
        <w:tc>
          <w:tcPr>
            <w:tcW w:type="dxa" w:w="3263"/>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ca. 23 EUR/Monat, sofort verfuegbar</w:t>
            </w:r>
          </w:p>
        </w:tc>
      </w:tr>
      <w:tr>
        <w:tc>
          <w:tcPr>
            <w:tcW w:type="dxa" w:w="2500"/>
            <w:gridSpan w:val="1"/>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jc w:val="left"/>
            </w:pPr>
            <w:r>
              <w:rPr>
                <w:rFonts w:ascii="Arial" w:cs="Arial" w:eastAsia="Arial" w:hAnsi="Arial"/>
                <w:b/>
                <w:bCs/>
                <w:color w:val="4A4A4A"/>
                <w:sz w:val="20"/>
                <w:szCs w:val="20"/>
              </w:rPr>
              <w:t xml:space="preserve">Mittelfristig (ab 20+ Kunden)</w:t>
            </w:r>
          </w:p>
        </w:tc>
        <w:tc>
          <w:tcPr>
            <w:tcW w:type="dxa" w:w="326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Migration zu Hetzner CX32, NextAuth.js fuer Auth</w:t>
            </w:r>
          </w:p>
        </w:tc>
        <w:tc>
          <w:tcPr>
            <w:tcW w:type="dxa" w:w="3263"/>
            <w:gridSpan w:val="1"/>
            <w:tcBorders>
              <w:top w:val="single" w:color="CCCCCC" w:sz="1"/>
              <w:left w:val="single" w:color="CCCCCC" w:sz="1"/>
              <w:bottom w:val="single" w:color="CCCCCC" w:sz="1"/>
              <w:right w:val="single" w:color="CCCCCC" w:sz="1"/>
            </w:tcBorders>
            <w:shd w:fill="EAF3E7"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ca. 7 EUR/Monat laufend, 38-76 h Einmalaufwand</w:t>
            </w:r>
          </w:p>
        </w:tc>
      </w:tr>
      <w:tr>
        <w:tc>
          <w:tcPr>
            <w:tcW w:type="dxa" w:w="2500"/>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left"/>
            </w:pPr>
            <w:r>
              <w:rPr>
                <w:rFonts w:ascii="Arial" w:cs="Arial" w:eastAsia="Arial" w:hAnsi="Arial"/>
                <w:b/>
                <w:bCs/>
                <w:color w:val="C7A000"/>
                <w:sz w:val="20"/>
                <w:szCs w:val="20"/>
              </w:rPr>
              <w:t xml:space="preserve">DSGVO-Prioritaet (sofort)</w:t>
            </w:r>
          </w:p>
        </w:tc>
        <w:tc>
          <w:tcPr>
            <w:tcW w:type="dxa" w:w="326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Sofortige Migration zu Hetzner empfohlen, wenn deutsches Rechenzentrum Pflichtanforderung</w:t>
            </w:r>
          </w:p>
        </w:tc>
        <w:tc>
          <w:tcPr>
            <w:tcW w:type="dxa" w:w="3263"/>
            <w:gridSpan w:val="1"/>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left"/>
            </w:pPr>
            <w:r>
              <w:rPr>
                <w:rFonts w:ascii="Arial" w:cs="Arial" w:eastAsia="Arial" w:hAnsi="Arial"/>
                <w:b w:val="false"/>
                <w:bCs w:val="false"/>
                <w:color w:val="C7A000"/>
                <w:sz w:val="20"/>
                <w:szCs w:val="20"/>
              </w:rPr>
              <w:t xml:space="preserve">38-76 h Einmalaufwand, ca. 7 EUR/Monat laufend</w:t>
            </w:r>
          </w:p>
        </w:tc>
      </w:tr>
    </w:tbl>
    <w:p>
      <w:pPr>
        <w:spacing w:before="0" w:after="0"/>
      </w:pPr>
      <w:r>
        <w:rPr>
          <w:sz w:val="22"/>
          <w:szCs w:val="22"/>
        </w:rPr>
        <w:t xml:space="preserve"/>
      </w:r>
    </w:p>
    <w:p>
      <w:pPr>
        <w:pBdr>
          <w:left w:val="single" w:color="002451" w:sz="12"/>
        </w:pBdr>
        <w:shd w:fill="EEF3F9" w:val="clear"/>
        <w:spacing w:before="120" w:after="120"/>
        <w:ind w:left="240" w:right="240"/>
      </w:pPr>
      <w:r>
        <w:rPr>
          <w:rFonts w:ascii="Arial" w:cs="Arial" w:eastAsia="Arial" w:hAnsi="Arial"/>
          <w:b/>
          <w:bCs/>
          <w:color w:val="002451"/>
          <w:sz w:val="22"/>
          <w:szCs w:val="22"/>
        </w:rPr>
        <w:t xml:space="preserve">Empfehlung der Projektleitung: </w:t>
      </w:r>
      <w:r>
        <w:rPr>
          <w:rFonts w:ascii="Arial" w:cs="Arial" w:eastAsia="Arial" w:hAnsi="Arial"/>
          <w:color w:val="4A4A4A"/>
          <w:sz w:val="22"/>
          <w:szCs w:val="22"/>
        </w:rPr>
        <w:t xml:space="preserve">Fuer den sofortigen Produktivstart mit dem ersten Testkunden (Steuerkanzlei Robin Freund) wird Supabase Pro (EU-Region Frankfurt) in Kombination mit Vercel empfohlen. Die Hetzner-Migration sollte als Projekt geplant und spaetestens bei Erreichen von 10 zahlenden Kunden durchgefuehrt werden, um die DSGVO-Argumentation zu staerken und die Betriebskosten nachhaltig zu senken.</w:t>
      </w:r>
    </w:p>
    <w:p>
      <w:pPr>
        <w:spacing w:before="0" w:after="0"/>
      </w:pPr>
      <w:r>
        <w:rPr>
          <w:sz w:val="44"/>
          <w:szCs w:val="44"/>
        </w:rPr>
        <w:t xml:space="preserve"/>
      </w:r>
    </w:p>
    <w:p>
      <w:pPr>
        <w:pStyle w:val="Heading1"/>
        <w:spacing w:before="360" w:after="120"/>
      </w:pPr>
      <w:r>
        <w:rPr>
          <w:rFonts w:ascii="Arial" w:cs="Arial" w:eastAsia="Arial" w:hAnsi="Arial"/>
          <w:b/>
          <w:bCs/>
          <w:color w:val="002451"/>
          <w:sz w:val="28"/>
          <w:szCs w:val="28"/>
        </w:rPr>
        <w:t xml:space="preserve">8. Naechste Schritte</w:t>
      </w:r>
    </w:p>
    <w:p>
      <w:pPr>
        <w:pStyle w:val="ListParagraph"/>
        <w:numPr>
          <w:ilvl w:val="0"/>
          <w:numId w:val="2"/>
        </w:numPr>
        <w:spacing w:before="40" w:after="40"/>
      </w:pPr>
      <w:r>
        <w:rPr>
          <w:rFonts w:ascii="Arial" w:cs="Arial" w:eastAsia="Arial" w:hAnsi="Arial"/>
          <w:b w:val="false"/>
          <w:bCs w:val="false"/>
          <w:color w:val="4A4A4A"/>
          <w:sz w:val="22"/>
          <w:szCs w:val="22"/>
        </w:rPr>
        <w:t xml:space="preserve">Entscheidung durch Geschaeftsleitung: Sofortmassnahme (Supabase Pro) oder direkte Hetzner-Migration?</w:t>
      </w:r>
    </w:p>
    <w:p>
      <w:pPr>
        <w:pStyle w:val="ListParagraph"/>
        <w:numPr>
          <w:ilvl w:val="0"/>
          <w:numId w:val="2"/>
        </w:numPr>
        <w:spacing w:before="40" w:after="40"/>
      </w:pPr>
      <w:r>
        <w:rPr>
          <w:rFonts w:ascii="Arial" w:cs="Arial" w:eastAsia="Arial" w:hAnsi="Arial"/>
          <w:b w:val="false"/>
          <w:bCs w:val="false"/>
          <w:color w:val="4A4A4A"/>
          <w:sz w:val="22"/>
          <w:szCs w:val="22"/>
        </w:rPr>
        <w:t xml:space="preserve">Falls Cloud: AVV mit Supabase und Vercel abschliessen, EU-Region in Supabase-Einstellungen pruefen</w:t>
      </w:r>
    </w:p>
    <w:p>
      <w:pPr>
        <w:pStyle w:val="ListParagraph"/>
        <w:numPr>
          <w:ilvl w:val="0"/>
          <w:numId w:val="2"/>
        </w:numPr>
        <w:spacing w:before="40" w:after="40"/>
      </w:pPr>
      <w:r>
        <w:rPr>
          <w:rFonts w:ascii="Arial" w:cs="Arial" w:eastAsia="Arial" w:hAnsi="Arial"/>
          <w:b w:val="false"/>
          <w:bCs w:val="false"/>
          <w:color w:val="4A4A4A"/>
          <w:sz w:val="22"/>
          <w:szCs w:val="22"/>
        </w:rPr>
        <w:t xml:space="preserve">Falls Hetzner: DevOps-Budget genehmigen, Migrationsauftrag ausschreiben</w:t>
      </w:r>
    </w:p>
    <w:p>
      <w:pPr>
        <w:pStyle w:val="ListParagraph"/>
        <w:numPr>
          <w:ilvl w:val="0"/>
          <w:numId w:val="2"/>
        </w:numPr>
        <w:spacing w:before="40" w:after="40"/>
      </w:pPr>
      <w:r>
        <w:rPr>
          <w:rFonts w:ascii="Arial" w:cs="Arial" w:eastAsia="Arial" w:hAnsi="Arial"/>
          <w:b w:val="false"/>
          <w:bCs w:val="false"/>
          <w:color w:val="4A4A4A"/>
          <w:sz w:val="22"/>
          <w:szCs w:val="22"/>
        </w:rPr>
        <w:t xml:space="preserve">Unabhaengig davon: Produktionsdatenbank in Supabase einrichten (TODO aus Pflichtenheft)</w:t>
      </w:r>
    </w:p>
    <w:p>
      <w:pPr>
        <w:pStyle w:val="ListParagraph"/>
        <w:numPr>
          <w:ilvl w:val="0"/>
          <w:numId w:val="2"/>
        </w:numPr>
        <w:spacing w:before="40" w:after="40"/>
      </w:pPr>
      <w:r>
        <w:rPr>
          <w:rFonts w:ascii="Arial" w:cs="Arial" w:eastAsia="Arial" w:hAnsi="Arial"/>
          <w:b w:val="false"/>
          <w:bCs w:val="false"/>
          <w:color w:val="4A4A4A"/>
          <w:sz w:val="22"/>
          <w:szCs w:val="22"/>
        </w:rPr>
        <w:t xml:space="preserve">Datenschutzerklaerung und technisch-organisatorische Massnahmen (TOMs) dokumentieren</w:t>
      </w:r>
    </w:p>
    <w:p>
      <w:pPr>
        <w:spacing w:before="0" w:after="0"/>
      </w:pPr>
      <w:r>
        <w:rPr>
          <w:sz w:val="44"/>
          <w:szCs w:val="44"/>
        </w:rPr>
        <w:t xml:space="preserve"/>
      </w:r>
    </w:p>
    <w:p>
      <w:pPr>
        <w:pBdr>
          <w:top w:val="single" w:color="CCCCCC" w:sz="2" w:space="4"/>
        </w:pBdr>
        <w:spacing w:before="240" w:after="0"/>
      </w:pPr>
      <w:r>
        <w:rPr>
          <w:rFonts w:ascii="Arial" w:cs="Arial" w:eastAsia="Arial" w:hAnsi="Arial"/>
          <w:i/>
          <w:iCs/>
          <w:color w:val="888888"/>
          <w:sz w:val="16"/>
          <w:szCs w:val="16"/>
        </w:rPr>
        <w:t xml:space="preserve">Quellen: Supabase Pricing (supabase.com/pricing, Feb. 2026), Vercel Pro Plan Dokumentation, Hetzner Cloud Preisrechner (hetzner.com/cloud), eigene Einschaetzungen.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2451" w:sz="4" w:space="4"/>
      </w:pBdr>
      <w:tabs>
        <w:tab w:val="right" w:pos="9026"/>
      </w:tabs>
      <w:spacing w:before="80"/>
    </w:pPr>
    <w:r>
      <w:rPr>
        <w:rFonts w:ascii="Arial" w:cs="Arial" w:eastAsia="Arial" w:hAnsi="Arial"/>
        <w:color w:val="4A4A4A"/>
        <w:sz w:val="16"/>
        <w:szCs w:val="16"/>
      </w:rPr>
      <w:t xml:space="preserve">Cubintec GmbH  |  Vertraulich</w:t>
    </w:r>
    <w:r>
      <w:rPr>
        <w:rFonts w:ascii="Arial" w:cs="Arial" w:eastAsia="Arial" w:hAnsi="Arial"/>
        <w:sz w:val="16"/>
        <w:szCs w:val="16"/>
      </w:rPr>
      <w:t xml:space="preserve">	</w:t>
    </w:r>
    <w:r>
      <w:rPr>
        <w:rFonts w:ascii="Arial" w:cs="Arial" w:eastAsia="Arial" w:hAnsi="Arial"/>
        <w:color w:val="4A4A4A"/>
        <w:sz w:val="16"/>
        <w:szCs w:val="16"/>
      </w:rPr>
      <w:t xml:space="preserve">Seite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451" w:sz="4" w:space="4"/>
      </w:pBdr>
      <w:spacing w:after="120"/>
    </w:pPr>
    <w:r>
      <w:rPr>
        <w:rFonts w:ascii="Arial" w:cs="Arial" w:eastAsia="Arial" w:hAnsi="Arial"/>
        <w:color w:val="4A4A4A"/>
        <w:sz w:val="18"/>
        <w:szCs w:val="18"/>
      </w:rPr>
      <w:t xml:space="preserve">PZE Projektzeiterfassung  |  </w:t>
    </w:r>
    <w:r>
      <w:rPr>
        <w:rFonts w:ascii="Arial" w:cs="Arial" w:eastAsia="Arial" w:hAnsi="Arial"/>
        <w:b/>
        <w:bCs/>
        <w:color w:val="002451"/>
        <w:sz w:val="18"/>
        <w:szCs w:val="18"/>
      </w:rPr>
      <w:t xml:space="preserve">Entscheidungsvorlage: Hosting-Strategie</w:t>
    </w:r>
    <w:r>
      <w:rPr>
        <w:rFonts w:ascii="Arial" w:cs="Arial" w:eastAsia="Arial" w:hAnsi="Arial"/>
        <w:color w:val="4A4A4A"/>
        <w:sz w:val="18"/>
        <w:szCs w:val="18"/>
      </w:rPr>
      <w:t xml:space="preserve">   |   Stand: 20. Februar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2451" w:sz="4" w:space="4"/>
      </w:pBdr>
      <w:spacing w:before="360" w:after="120"/>
      <w:outlineLvl w:val="0"/>
    </w:pPr>
    <w:rPr>
      <w:rFonts w:ascii="Arial" w:cs="Arial" w:eastAsia="Arial" w:hAnsi="Arial"/>
      <w:b/>
      <w:bCs/>
      <w:color w:val="002451"/>
      <w:sz w:val="28"/>
      <w:szCs w:val="28"/>
    </w:rPr>
  </w:style>
  <w:style w:type="paragraph" w:styleId="Heading2">
    <w:name w:val="Heading 2"/>
    <w:basedOn w:val="Normal"/>
    <w:next w:val="Normal"/>
    <w:qFormat/>
    <w:pPr>
      <w:spacing w:before="240" w:after="80"/>
      <w:outlineLvl w:val="1"/>
    </w:pPr>
    <w:rPr>
      <w:rFonts w:ascii="Arial" w:cs="Arial" w:eastAsia="Arial" w:hAnsi="Arial"/>
      <w:b/>
      <w:bCs/>
      <w:color w:val="0024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2026-02-20T21:46:56.684Z</dcterms:created>
  <dcterms:modified xsi:type="dcterms:W3CDTF">2026-02-20T21:46:56.685Z</dcterms:modified>
</cp:coreProperties>
</file>

<file path=docProps/custom.xml><?xml version="1.0" encoding="utf-8"?>
<Properties xmlns="http://schemas.openxmlformats.org/officeDocument/2006/custom-properties" xmlns:vt="http://schemas.openxmlformats.org/officeDocument/2006/docPropsVTypes"/>
</file>