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49107231591. Primary email: *****@company.ee. Mobile: +372****. Bank account (IBAN): EE**************0133. Preferred contact window: weekdays 09:00–12:00.</w:t>
      </w:r>
    </w:p>
    <w:p>
      <w:r>
        <w:t>Client 2: Name: Jaan Tamm. Isikukood: ***********. Secondary email: *****@kpmg.ee. Office landline: +372****. Settlement account (IBAN): EE**************2654.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EE**************0133 appeared in the September ledger and was settled on time.</w:t>
      </w:r>
    </w:p>
    <w:p>
      <w:r>
        <w:t>As part of KYC updates, identity records must contain a valid Estonian personal code (isikukood). The control digit must match the official algorithm. In test runs, the code ***********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EE**************0133, EE**************2654. Isikukood examples: 49107231591, ***********. Phone examples: +372****, +372****. Emails: *****@company.ee, *****@kpmg.ee.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