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Contains Valid-Format Sensitive Data (Demo Only)</w:t>
      </w:r>
    </w:p>
    <w:p>
      <w:r>
        <w:t>This two‑page sample document is intended for testing data‑redaction and detection tools. All personal data below is synthetic but passes formal validation rules (e.g., IBAN checksum, Estonian personal code control digit). Do not use these values in production or for real transactions.</w:t>
      </w:r>
    </w:p>
    <w:p/>
    <w:p>
      <w:pPr>
        <w:pStyle w:val="Heading2"/>
      </w:pPr>
      <w:r>
        <w:t>Section 1 — Project Overview</w:t>
      </w:r>
    </w:p>
    <w:p>
      <w:r>
        <w:t>Our bookkeeping team is preparing a pilot for automated PII and financial data detection. The purpose is to validate that our scanners correctly identify international bank account numbers (IBAN), Estonian personal identification codes (isikukood), telephone numbers, and email addresses embedded in ordinary text.</w:t>
      </w:r>
    </w:p>
    <w:p>
      <w:r>
        <w:t>Below you will find realistic paragraphs that include these data points in natural contexts. Each occurrence is deliberately placed inside regular prose to simulate real‑world documents.</w:t>
      </w:r>
    </w:p>
    <w:p/>
    <w:p>
      <w:pPr>
        <w:pStyle w:val="Heading2"/>
      </w:pPr>
      <w:r>
        <w:t>Section 2 — Contact &amp; Identity Examples</w:t>
      </w:r>
    </w:p>
    <w:p>
      <w:r>
        <w:t>Client 1: Name: Mari Maasikas. Isikukood: 49107231591. Primary email: mikk.mets@company.ee. Mobile: +372 551 194 489. Bank account (IBAN): EE**************0133. Preferred contact window: weekdays 09:00–12:00.</w:t>
      </w:r>
    </w:p>
    <w:p>
      <w:r>
        <w:t>Client 2: Name: Jaan Tamm. Isikukood: 50512052204. Secondary email: anna.kask@kpmg.ee. Office landline: +372 612 55 54. Settlement account (IBAN): EE**************2654. Agreement reference: MT‑2025‑A7.</w:t>
      </w:r>
    </w:p>
    <w:p/>
    <w:p>
      <w:pPr>
        <w:pStyle w:val="Heading2"/>
      </w:pPr>
      <w:r>
        <w:t>Section 3 — Narrative Text with Embedded Values</w:t>
      </w:r>
    </w:p>
    <w:p>
      <w:r>
        <w:t>During the onboarding interview, the client confirmed that the payroll export would be delivered on the last business day of each month. In parallel, the accounts receivable ledger will be reconciled to the primary settlement account. For avoidance of doubt, any bank transfers originating from EE‑resident accounts should be tagged with their corresponding IBAN and verified for checksum validity prior to posting. For example, the account EE**************0133 appeared in the September ledger and was settled on time.</w:t>
      </w:r>
    </w:p>
    <w:p>
      <w:r>
        <w:t>As part of KYC updates, identity records must contain a valid Estonian personal code (isikukood). The control digit must match the official algorithm. In test runs, the code 50512052204 passed the validation pipeline. Phone contacts should include both mobile and office numbers where available; if only a mobile is provided, ensure the E.164 format is stored alongside local formatting. Email addresses should be unique per contact card.</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br w:type="page"/>
      </w:r>
    </w:p>
    <w:p>
      <w:pPr>
        <w:pStyle w:val="Heading1"/>
      </w:pPr>
      <w:r>
        <w:t>Page 2 — Additional Context &amp; Appendix</w:t>
      </w:r>
    </w:p>
    <w:p>
      <w:r>
        <w:t>This page provides additional sample narrative to ensure the document spans at least two pages under standard A4 margins. Replace, augment, or anonymize as needed for your testing scenarios.</w:t>
      </w:r>
    </w:p>
    <w:p>
      <w:r>
        <w:t>Appendix A — Data Points in Context: The phone number formats include international (+372) and local spacing, emails include common corporate and academic domains, and IBANs adhere to ISO 13616 checksum rules. Estonian personal codes (isikukoodid) follow official control‑digit computation and valid date structure.</w:t>
      </w:r>
    </w:p>
    <w:p>
      <w:r>
        <w:t>For cross‑checking, note again: IBAN examples: EE**************0133, EE**************2654. Isikukood examples: 49107231591, 50512052204. Phone examples: +372 551 194 489, +372 612 55 54. Emails: mikk.mets@company.ee, anna.kask@kpmg.ee. All values are synthetic; any resemblance to real persons or accounts is coincidental.</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p>
      <w:r>
        <w:t xml:space="preserve">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This paragraph contains standard business text intended to resemble a typical operational memo. It references internal controls, month‑end procedures, and audit trails without revealing confidential content. The goal is to provide enough body text so that detection tools must scan across multiple sections, headings, and varying punctuation. </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