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 ***********. Primary email: mikk.mets@company.ee. Mobile: +372****. Bank account (IBAN): EE861043321819600133. Preferred contact window: weekdays 09:00–12:00.</w:t>
      </w:r>
    </w:p>
    <w:p>
      <w:r>
        <w:t>Client 2: Name: Jaan Tamm. *********: ***********. Secondary email: *****@kpmg.ee. Office landline: +372****. Settlement account (IBAN): EE568908386379402654.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EE861043321819600133 appeared in the September ledger and was settled on time.</w:t>
      </w:r>
    </w:p>
    <w:p>
      <w:r>
        <w:t>As part of KYC updates, identity records must contain a valid Estonian personal code (*********). The control digit must match the official algorithm. In test runs, the code ***********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(*********id) follow official control‑digit computation and valid date structure.</w:t>
      </w:r>
    </w:p>
    <w:p>
      <w:r>
        <w:t>For cross‑checking, note again: IBAN examples: EE861043321819600133, EE568908386379402654. ********* examples: ***********, ***********. Phone examples: +372****, +372****. Emails: mikk.mets@company.ee, *****@kpmg.ee.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