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integreeritud lausetesse — mitte eraldi väljadena, vaid lõikude sees. Kõik andmed on sünteetilised ja neid kasutatakse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isikuandmed: perekonnanimi ja eesnimi — Kask, Mari; isikukood (Isikukood) on toodud kujul </w:t>
      </w:r>
      <w:r w:rsidR="0091552B">
        <w:t>50505200286</w:t>
      </w:r>
      <w:r w:rsidRPr="00E60B21">
        <w:t>, mis vastab Eesti isikukoodi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***** lõigus: ühenduse võtmiseks võib kasutada e-posti aadressi </w:t>
      </w:r>
      <w:hyperlink w:history="1" r:id="rId6">
        <w:r w:rsidRPr="00E60B21">
          <w:rPr>
            <w:rStyle w:val="Hyperlink"/>
          </w:rPr>
          <w:t>mari.kask@example.ee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on samuti tekstis: IBAN on </w:t>
      </w:r>
      <w:r w:rsidRPr="0091552B" w:rsidR="0091552B">
        <w:t>EE382200221020145685</w:t>
      </w:r>
      <w:r w:rsidR="0091552B">
        <w:t xml:space="preserve">, </w:t>
      </w:r>
      <w:r w:rsidRPr="0091552B" w:rsidR="0091552B">
        <w:t>FI2112345600000785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madjat@taltech.ee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isikute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