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FD42" w14:textId="77777777" w:rsidR="00CE2DA2" w:rsidRPr="00317AA7" w:rsidRDefault="00CE2DA2">
      <w:pPr>
        <w:rPr>
          <w:rFonts w:ascii="Times New Roman" w:hAnsi="Times New Roman" w:cs="Times New Roman"/>
          <w:color w:val="auto"/>
        </w:rPr>
      </w:pPr>
    </w:p>
    <w:p w14:paraId="704CBDF7" w14:textId="73CE7201" w:rsidR="00CE2DA2" w:rsidRPr="00317AA7" w:rsidRDefault="00317AA7" w:rsidP="00317AA7">
      <w:pPr>
        <w:jc w:val="center"/>
        <w:rPr>
          <w:rFonts w:ascii="Times New Roman" w:hAnsi="Times New Roman" w:cs="Times New Roman"/>
          <w:color w:val="auto"/>
        </w:rPr>
      </w:pPr>
      <w:r>
        <w:rPr>
          <w:rFonts w:ascii="Times New Roman" w:hAnsi="Times New Roman" w:cs="Times New Roman"/>
          <w:i/>
          <w:iCs/>
          <w:noProof/>
          <w:color w:val="auto"/>
          <w:sz w:val="24"/>
          <w:szCs w:val="24"/>
        </w:rPr>
        <w:drawing>
          <wp:inline distT="0" distB="0" distL="0" distR="0" wp14:anchorId="51F88494" wp14:editId="6D48165B">
            <wp:extent cx="4389120" cy="1019960"/>
            <wp:effectExtent l="0" t="0" r="0" b="0"/>
            <wp:docPr id="1206244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98894" cy="1022231"/>
                    </a:xfrm>
                    <a:prstGeom prst="rect">
                      <a:avLst/>
                    </a:prstGeom>
                    <a:noFill/>
                    <a:ln>
                      <a:noFill/>
                    </a:ln>
                  </pic:spPr>
                </pic:pic>
              </a:graphicData>
            </a:graphic>
          </wp:inline>
        </w:drawing>
      </w:r>
    </w:p>
    <w:p w14:paraId="3F18A443" w14:textId="77777777" w:rsidR="00CE2DA2" w:rsidRPr="00317AA7" w:rsidRDefault="00D91203">
      <w:pPr>
        <w:spacing w:after="100"/>
        <w:jc w:val="center"/>
        <w:rPr>
          <w:rFonts w:ascii="Times New Roman" w:hAnsi="Times New Roman" w:cs="Times New Roman"/>
          <w:color w:val="auto"/>
        </w:rPr>
      </w:pPr>
      <w:r>
        <w:rPr>
          <w:rFonts w:ascii="Times New Roman" w:hAnsi="Times New Roman" w:cs="Times New Roman"/>
          <w:b/>
          <w:bCs/>
          <w:color w:val="auto"/>
          <w:sz w:val="24"/>
          <w:szCs w:val="24"/>
        </w:rPr>
        <w:t>ESCUELA DE INGENIERÍA EN COMPUTACIÓN</w:t>
      </w:r>
    </w:p>
    <w:p w14:paraId="2F627436" w14:textId="77777777" w:rsidR="00CE2DA2" w:rsidRPr="00317AA7" w:rsidRDefault="00D91203">
      <w:pPr>
        <w:spacing w:after="600"/>
        <w:jc w:val="center"/>
        <w:rPr>
          <w:rFonts w:ascii="Times New Roman" w:hAnsi="Times New Roman" w:cs="Times New Roman"/>
          <w:color w:val="auto"/>
        </w:rPr>
      </w:pPr>
      <w:r>
        <w:rPr>
          <w:rFonts w:ascii="Times New Roman" w:hAnsi="Times New Roman" w:cs="Times New Roman"/>
          <w:color w:val="auto"/>
        </w:rPr>
        <w:t>BACHILLERATO EN INGENIERÍA EN COMPUTACIÓN</w:t>
      </w:r>
    </w:p>
    <w:p w14:paraId="6F10F53C" w14:textId="77777777" w:rsidR="00CE2DA2" w:rsidRPr="00317AA7" w:rsidRDefault="00CE2DA2">
      <w:pPr>
        <w:rPr>
          <w:rFonts w:ascii="Times New Roman" w:hAnsi="Times New Roman" w:cs="Times New Roman"/>
          <w:color w:val="auto"/>
        </w:rPr>
      </w:pPr>
    </w:p>
    <w:p w14:paraId="789CF2C8" w14:textId="01F3D5AE" w:rsidR="00CE2DA2" w:rsidRPr="00317AA7" w:rsidRDefault="00CE2DA2" w:rsidP="00762ED0">
      <w:pPr>
        <w:ind w:left="708" w:hanging="708"/>
        <w:rPr>
          <w:rFonts w:ascii="Times New Roman" w:hAnsi="Times New Roman" w:cs="Times New Roman"/>
          <w:color w:val="auto"/>
        </w:rPr>
      </w:pPr>
    </w:p>
    <w:p w14:paraId="381AE9C1" w14:textId="77777777" w:rsidR="00CE2DA2" w:rsidRPr="00317AA7" w:rsidRDefault="00D91203">
      <w:pPr>
        <w:spacing w:after="100"/>
        <w:jc w:val="center"/>
        <w:rPr>
          <w:rFonts w:ascii="Times New Roman" w:hAnsi="Times New Roman" w:cs="Times New Roman"/>
          <w:color w:val="auto"/>
        </w:rPr>
      </w:pPr>
      <w:r>
        <w:rPr>
          <w:rFonts w:ascii="Times New Roman" w:hAnsi="Times New Roman" w:cs="Times New Roman"/>
          <w:b/>
          <w:bCs/>
          <w:color w:val="auto"/>
          <w:sz w:val="32"/>
          <w:szCs w:val="32"/>
        </w:rPr>
        <w:t>ESPECIFICACIÓN DE REQUERIMIENTOS DE SOFTWARE (SRS)</w:t>
      </w:r>
    </w:p>
    <w:p w14:paraId="7B8657C4" w14:textId="77777777" w:rsidR="00CE2DA2" w:rsidRPr="00317AA7" w:rsidRDefault="00CE2DA2">
      <w:pPr>
        <w:rPr>
          <w:rFonts w:ascii="Times New Roman" w:hAnsi="Times New Roman" w:cs="Times New Roman"/>
          <w:color w:val="auto"/>
        </w:rPr>
      </w:pPr>
    </w:p>
    <w:p w14:paraId="6BE2056B" w14:textId="50B2D6C7" w:rsidR="00CE2DA2" w:rsidRPr="00317AA7" w:rsidRDefault="00D91203">
      <w:pPr>
        <w:spacing w:after="400"/>
        <w:jc w:val="center"/>
        <w:rPr>
          <w:rFonts w:ascii="Times New Roman" w:hAnsi="Times New Roman" w:cs="Times New Roman"/>
          <w:color w:val="auto"/>
        </w:rPr>
      </w:pPr>
      <w:r>
        <w:rPr>
          <w:rFonts w:ascii="Times New Roman" w:hAnsi="Times New Roman" w:cs="Times New Roman"/>
          <w:i/>
          <w:iCs/>
          <w:color w:val="auto"/>
          <w:sz w:val="24"/>
          <w:szCs w:val="24"/>
        </w:rPr>
        <w:t>TrackIn — Automatización del seguimiento logístico de compras internacionales de insumos farmacéuticos mediante rastreo marítimo y aéreo en tiempo real para Laboratorios Gutis</w:t>
      </w:r>
    </w:p>
    <w:p w14:paraId="58F6C697" w14:textId="77777777" w:rsidR="00CE2DA2" w:rsidRPr="00317AA7" w:rsidRDefault="00CE2DA2">
      <w:pPr>
        <w:rPr>
          <w:rFonts w:ascii="Times New Roman" w:hAnsi="Times New Roman" w:cs="Times New Roman"/>
          <w:color w:val="auto"/>
        </w:rPr>
      </w:pPr>
    </w:p>
    <w:p w14:paraId="0E2D7E47" w14:textId="77777777" w:rsidR="00CE2DA2" w:rsidRPr="00317AA7" w:rsidRDefault="00CE2DA2">
      <w:pPr>
        <w:rPr>
          <w:rFonts w:ascii="Times New Roman" w:hAnsi="Times New Roman" w:cs="Times New Roman"/>
          <w:color w:val="auto"/>
        </w:rPr>
      </w:pPr>
    </w:p>
    <w:p w14:paraId="02522118" w14:textId="77777777" w:rsidR="00CE2DA2" w:rsidRPr="00317AA7" w:rsidRDefault="00D91203">
      <w:pPr>
        <w:spacing w:after="500"/>
        <w:jc w:val="center"/>
        <w:rPr>
          <w:rFonts w:ascii="Times New Roman" w:hAnsi="Times New Roman" w:cs="Times New Roman"/>
          <w:color w:val="auto"/>
        </w:rPr>
      </w:pPr>
      <w:r>
        <w:rPr>
          <w:rFonts w:ascii="Times New Roman" w:hAnsi="Times New Roman" w:cs="Times New Roman"/>
          <w:i/>
          <w:iCs/>
          <w:color w:val="auto"/>
          <w:sz w:val="20"/>
          <w:szCs w:val="20"/>
        </w:rPr>
        <w:t>Documento elaborado conforme al estándar IEEE 830-1998, adaptado</w:t>
      </w:r>
    </w:p>
    <w:p w14:paraId="23CC4B25" w14:textId="77777777" w:rsidR="00CE2DA2" w:rsidRPr="00317AA7" w:rsidRDefault="00CE2DA2">
      <w:pPr>
        <w:rPr>
          <w:rFonts w:ascii="Times New Roman" w:hAnsi="Times New Roman" w:cs="Times New Roman"/>
          <w:color w:val="auto"/>
        </w:rPr>
      </w:pPr>
    </w:p>
    <w:p w14:paraId="6F6B9179" w14:textId="77777777" w:rsidR="00CE2DA2" w:rsidRPr="00317AA7" w:rsidRDefault="00CE2DA2">
      <w:pPr>
        <w:rPr>
          <w:rFonts w:ascii="Times New Roman" w:hAnsi="Times New Roman" w:cs="Times New Roman"/>
          <w:color w:val="auto"/>
        </w:rPr>
      </w:pPr>
    </w:p>
    <w:p w14:paraId="0CB8C74C" w14:textId="77777777" w:rsidR="00CE2DA2" w:rsidRPr="00317AA7" w:rsidRDefault="00CE2DA2">
      <w:pPr>
        <w:rPr>
          <w:rFonts w:ascii="Times New Roman" w:hAnsi="Times New Roman" w:cs="Times New Roman"/>
          <w:color w:val="auto"/>
        </w:rPr>
      </w:pPr>
    </w:p>
    <w:tbl>
      <w:tblPr>
        <w:tblW w:w="9360" w:type="dxa"/>
        <w:tblCellMar>
          <w:left w:w="10" w:type="dxa"/>
          <w:right w:w="10" w:type="dxa"/>
        </w:tblCellMar>
        <w:tblLook w:val="04A0" w:firstRow="1" w:lastRow="0" w:firstColumn="1" w:lastColumn="0" w:noHBand="0" w:noVBand="1"/>
      </w:tblPr>
      <w:tblGrid>
        <w:gridCol w:w="3200"/>
        <w:gridCol w:w="6160"/>
      </w:tblGrid>
      <w:tr w:rsidR="00CE2DA2" w:rsidRPr="00317AA7" w14:paraId="24AC3DE5" w14:textId="77777777">
        <w:tc>
          <w:tcPr>
            <w:tcW w:w="3200" w:type="dxa"/>
            <w:tcMar>
              <w:top w:w="60" w:type="dxa"/>
              <w:left w:w="100" w:type="dxa"/>
              <w:bottom w:w="60" w:type="dxa"/>
              <w:right w:w="100" w:type="dxa"/>
            </w:tcMar>
          </w:tcPr>
          <w:p w14:paraId="27C257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Autor</w:t>
            </w:r>
          </w:p>
        </w:tc>
        <w:tc>
          <w:tcPr>
            <w:tcW w:w="6160" w:type="dxa"/>
            <w:tcMar>
              <w:top w:w="60" w:type="dxa"/>
              <w:left w:w="100" w:type="dxa"/>
              <w:bottom w:w="60" w:type="dxa"/>
              <w:right w:w="100" w:type="dxa"/>
            </w:tcMar>
          </w:tcPr>
          <w:p w14:paraId="659BCA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de Jesús Mayorga Halabi</w:t>
            </w:r>
          </w:p>
        </w:tc>
      </w:tr>
      <w:tr w:rsidR="00CE2DA2" w:rsidRPr="00317AA7" w14:paraId="73C748EB" w14:textId="77777777">
        <w:tc>
          <w:tcPr>
            <w:tcW w:w="3200" w:type="dxa"/>
            <w:tcMar>
              <w:top w:w="60" w:type="dxa"/>
              <w:left w:w="100" w:type="dxa"/>
              <w:bottom w:w="60" w:type="dxa"/>
              <w:right w:w="100" w:type="dxa"/>
            </w:tcMar>
          </w:tcPr>
          <w:p w14:paraId="7ECF38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Carné</w:t>
            </w:r>
          </w:p>
        </w:tc>
        <w:tc>
          <w:tcPr>
            <w:tcW w:w="6160" w:type="dxa"/>
            <w:tcMar>
              <w:top w:w="60" w:type="dxa"/>
              <w:left w:w="100" w:type="dxa"/>
              <w:bottom w:w="60" w:type="dxa"/>
              <w:right w:w="100" w:type="dxa"/>
            </w:tcMar>
          </w:tcPr>
          <w:p w14:paraId="6EC417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2022075454</w:t>
            </w:r>
          </w:p>
        </w:tc>
      </w:tr>
      <w:tr w:rsidR="00CE2DA2" w:rsidRPr="00317AA7" w14:paraId="73075B56" w14:textId="77777777">
        <w:tc>
          <w:tcPr>
            <w:tcW w:w="3200" w:type="dxa"/>
            <w:tcMar>
              <w:top w:w="60" w:type="dxa"/>
              <w:left w:w="100" w:type="dxa"/>
              <w:bottom w:w="60" w:type="dxa"/>
              <w:right w:w="100" w:type="dxa"/>
            </w:tcMar>
          </w:tcPr>
          <w:p w14:paraId="3F4546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Correo</w:t>
            </w:r>
          </w:p>
        </w:tc>
        <w:tc>
          <w:tcPr>
            <w:tcW w:w="6160" w:type="dxa"/>
            <w:tcMar>
              <w:top w:w="60" w:type="dxa"/>
              <w:left w:w="100" w:type="dxa"/>
              <w:bottom w:w="60" w:type="dxa"/>
              <w:right w:w="100" w:type="dxa"/>
            </w:tcMar>
          </w:tcPr>
          <w:p w14:paraId="5F9F081E" w14:textId="18CA230C"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mamayorga@estudiantec.cr</w:t>
            </w:r>
            <w:r w:rsidR="00573A30">
              <w:rPr>
                <w:rFonts w:ascii="Times New Roman" w:hAnsi="Times New Roman" w:cs="Times New Roman"/>
                <w:color w:val="auto"/>
                <w:sz w:val="20"/>
                <w:szCs w:val="20"/>
              </w:rPr>
              <w:t xml:space="preserve"> </w:t>
            </w:r>
          </w:p>
        </w:tc>
      </w:tr>
      <w:tr w:rsidR="00CE2DA2" w:rsidRPr="00317AA7" w14:paraId="0A823F39" w14:textId="77777777">
        <w:tc>
          <w:tcPr>
            <w:tcW w:w="3200" w:type="dxa"/>
            <w:tcMar>
              <w:top w:w="60" w:type="dxa"/>
              <w:left w:w="100" w:type="dxa"/>
              <w:bottom w:w="60" w:type="dxa"/>
              <w:right w:w="100" w:type="dxa"/>
            </w:tcMar>
          </w:tcPr>
          <w:p w14:paraId="7C47D6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Empresa</w:t>
            </w:r>
          </w:p>
        </w:tc>
        <w:tc>
          <w:tcPr>
            <w:tcW w:w="6160" w:type="dxa"/>
            <w:tcMar>
              <w:top w:w="60" w:type="dxa"/>
              <w:left w:w="100" w:type="dxa"/>
              <w:bottom w:w="60" w:type="dxa"/>
              <w:right w:w="100" w:type="dxa"/>
            </w:tcMar>
          </w:tcPr>
          <w:p w14:paraId="6AF9C1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Laboratorios Gutis Ltda.</w:t>
            </w:r>
          </w:p>
        </w:tc>
      </w:tr>
      <w:tr w:rsidR="00CE2DA2" w:rsidRPr="00317AA7" w14:paraId="304CF300" w14:textId="77777777">
        <w:tc>
          <w:tcPr>
            <w:tcW w:w="3200" w:type="dxa"/>
            <w:tcMar>
              <w:top w:w="60" w:type="dxa"/>
              <w:left w:w="100" w:type="dxa"/>
              <w:bottom w:w="60" w:type="dxa"/>
              <w:right w:w="100" w:type="dxa"/>
            </w:tcMar>
          </w:tcPr>
          <w:p w14:paraId="41C025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Supervisor de empresa</w:t>
            </w:r>
          </w:p>
        </w:tc>
        <w:tc>
          <w:tcPr>
            <w:tcW w:w="6160" w:type="dxa"/>
            <w:tcMar>
              <w:top w:w="60" w:type="dxa"/>
              <w:left w:w="100" w:type="dxa"/>
              <w:bottom w:w="60" w:type="dxa"/>
              <w:right w:w="100" w:type="dxa"/>
            </w:tcMar>
          </w:tcPr>
          <w:p w14:paraId="037811BB" w14:textId="4A9D019D"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Greivin Mora Ferreto, Gerente Centro de Competencias</w:t>
            </w:r>
          </w:p>
        </w:tc>
      </w:tr>
      <w:tr w:rsidR="00CE2DA2" w:rsidRPr="00317AA7" w14:paraId="5A4F65B7" w14:textId="77777777">
        <w:tc>
          <w:tcPr>
            <w:tcW w:w="3200" w:type="dxa"/>
            <w:tcMar>
              <w:top w:w="60" w:type="dxa"/>
              <w:left w:w="100" w:type="dxa"/>
              <w:bottom w:w="60" w:type="dxa"/>
              <w:right w:w="100" w:type="dxa"/>
            </w:tcMar>
          </w:tcPr>
          <w:p w14:paraId="131306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Profesor asesor</w:t>
            </w:r>
          </w:p>
        </w:tc>
        <w:tc>
          <w:tcPr>
            <w:tcW w:w="6160" w:type="dxa"/>
            <w:tcMar>
              <w:top w:w="60" w:type="dxa"/>
              <w:left w:w="100" w:type="dxa"/>
              <w:bottom w:w="60" w:type="dxa"/>
              <w:right w:w="100" w:type="dxa"/>
            </w:tcMar>
          </w:tcPr>
          <w:p w14:paraId="5BDD77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Luis Montoya Poitevien</w:t>
            </w:r>
          </w:p>
        </w:tc>
      </w:tr>
      <w:tr w:rsidR="00CE2DA2" w:rsidRPr="00317AA7" w14:paraId="04B5F274" w14:textId="77777777">
        <w:tc>
          <w:tcPr>
            <w:tcW w:w="3200" w:type="dxa"/>
            <w:tcMar>
              <w:top w:w="60" w:type="dxa"/>
              <w:left w:w="100" w:type="dxa"/>
              <w:bottom w:w="60" w:type="dxa"/>
              <w:right w:w="100" w:type="dxa"/>
            </w:tcMar>
          </w:tcPr>
          <w:p w14:paraId="32FDFF6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Entregable</w:t>
            </w:r>
          </w:p>
        </w:tc>
        <w:tc>
          <w:tcPr>
            <w:tcW w:w="6160" w:type="dxa"/>
            <w:tcMar>
              <w:top w:w="60" w:type="dxa"/>
              <w:left w:w="100" w:type="dxa"/>
              <w:bottom w:w="60" w:type="dxa"/>
              <w:right w:w="100" w:type="dxa"/>
            </w:tcMar>
          </w:tcPr>
          <w:p w14:paraId="553C487E" w14:textId="4965F2E2"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Sprint 1, Práctica Profesional</w:t>
            </w:r>
          </w:p>
        </w:tc>
      </w:tr>
      <w:tr w:rsidR="00CE2DA2" w:rsidRPr="00317AA7" w14:paraId="0AFA5DD1" w14:textId="77777777">
        <w:tc>
          <w:tcPr>
            <w:tcW w:w="3200" w:type="dxa"/>
            <w:tcMar>
              <w:top w:w="60" w:type="dxa"/>
              <w:left w:w="100" w:type="dxa"/>
              <w:bottom w:w="60" w:type="dxa"/>
              <w:right w:w="100" w:type="dxa"/>
            </w:tcMar>
          </w:tcPr>
          <w:p w14:paraId="5322F61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c>
          <w:tcPr>
            <w:tcW w:w="6160" w:type="dxa"/>
            <w:tcMar>
              <w:top w:w="60" w:type="dxa"/>
              <w:left w:w="100" w:type="dxa"/>
              <w:bottom w:w="60" w:type="dxa"/>
              <w:right w:w="100" w:type="dxa"/>
            </w:tcMar>
          </w:tcPr>
          <w:p w14:paraId="7F48127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v0.2</w:t>
            </w:r>
          </w:p>
        </w:tc>
      </w:tr>
      <w:tr w:rsidR="00CE2DA2" w:rsidRPr="00317AA7" w14:paraId="55B044F1" w14:textId="77777777">
        <w:tc>
          <w:tcPr>
            <w:tcW w:w="3200" w:type="dxa"/>
            <w:tcMar>
              <w:top w:w="60" w:type="dxa"/>
              <w:left w:w="100" w:type="dxa"/>
              <w:bottom w:w="60" w:type="dxa"/>
              <w:right w:w="100" w:type="dxa"/>
            </w:tcMar>
          </w:tcPr>
          <w:p w14:paraId="41EDE01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w:t>
            </w:r>
          </w:p>
        </w:tc>
        <w:tc>
          <w:tcPr>
            <w:tcW w:w="6160" w:type="dxa"/>
            <w:tcMar>
              <w:top w:w="60" w:type="dxa"/>
              <w:left w:w="100" w:type="dxa"/>
              <w:bottom w:w="60" w:type="dxa"/>
              <w:right w:w="100" w:type="dxa"/>
            </w:tcMar>
          </w:tcPr>
          <w:p w14:paraId="5DBA78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14 de agosto de 2026</w:t>
            </w:r>
          </w:p>
        </w:tc>
      </w:tr>
    </w:tbl>
    <w:p w14:paraId="6651AB76" w14:textId="77777777" w:rsidR="00CE2DA2" w:rsidRPr="00317AA7" w:rsidRDefault="00D91203">
      <w:pPr>
        <w:pageBreakBefore/>
        <w:spacing w:after="200"/>
        <w:rPr>
          <w:rFonts w:ascii="Times New Roman" w:hAnsi="Times New Roman" w:cs="Times New Roman"/>
          <w:color w:val="auto"/>
        </w:rPr>
      </w:pPr>
      <w:r>
        <w:rPr>
          <w:rFonts w:ascii="Times New Roman" w:hAnsi="Times New Roman" w:cs="Times New Roman"/>
          <w:b/>
          <w:bCs/>
          <w:color w:val="auto"/>
          <w:sz w:val="28"/>
          <w:szCs w:val="28"/>
        </w:rPr>
        <w:lastRenderedPageBreak/>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200"/>
        <w:gridCol w:w="4360"/>
      </w:tblGrid>
      <w:tr w:rsidR="00CE2DA2" w:rsidRPr="00317AA7" w14:paraId="3B33537D" w14:textId="77777777">
        <w:trPr>
          <w:tblHeader/>
        </w:trPr>
        <w:tc>
          <w:tcPr>
            <w:tcW w:w="1200" w:type="dxa"/>
            <w:shd w:val="clear" w:color="auto" w:fill="D9E2F3"/>
            <w:tcMar>
              <w:top w:w="60" w:type="dxa"/>
              <w:left w:w="100" w:type="dxa"/>
              <w:bottom w:w="60" w:type="dxa"/>
              <w:right w:w="100" w:type="dxa"/>
            </w:tcMar>
          </w:tcPr>
          <w:p w14:paraId="662BCC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c>
          <w:tcPr>
            <w:tcW w:w="1600" w:type="dxa"/>
            <w:shd w:val="clear" w:color="auto" w:fill="D9E2F3"/>
            <w:tcMar>
              <w:top w:w="60" w:type="dxa"/>
              <w:left w:w="100" w:type="dxa"/>
              <w:bottom w:w="60" w:type="dxa"/>
              <w:right w:w="100" w:type="dxa"/>
            </w:tcMar>
          </w:tcPr>
          <w:p w14:paraId="395F5C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w:t>
            </w:r>
          </w:p>
        </w:tc>
        <w:tc>
          <w:tcPr>
            <w:tcW w:w="2200" w:type="dxa"/>
            <w:shd w:val="clear" w:color="auto" w:fill="D9E2F3"/>
            <w:tcMar>
              <w:top w:w="60" w:type="dxa"/>
              <w:left w:w="100" w:type="dxa"/>
              <w:bottom w:w="60" w:type="dxa"/>
              <w:right w:w="100" w:type="dxa"/>
            </w:tcMar>
          </w:tcPr>
          <w:p w14:paraId="1A6404C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Autor</w:t>
            </w:r>
          </w:p>
        </w:tc>
        <w:tc>
          <w:tcPr>
            <w:tcW w:w="4360" w:type="dxa"/>
            <w:shd w:val="clear" w:color="auto" w:fill="D9E2F3"/>
            <w:tcMar>
              <w:top w:w="60" w:type="dxa"/>
              <w:left w:w="100" w:type="dxa"/>
              <w:bottom w:w="60" w:type="dxa"/>
              <w:right w:w="100" w:type="dxa"/>
            </w:tcMar>
          </w:tcPr>
          <w:p w14:paraId="0A174EB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 del cambio</w:t>
            </w:r>
          </w:p>
        </w:tc>
      </w:tr>
      <w:tr w:rsidR="00CE2DA2" w:rsidRPr="00317AA7" w14:paraId="4065DBEF" w14:textId="77777777">
        <w:tc>
          <w:tcPr>
            <w:tcW w:w="1200" w:type="dxa"/>
            <w:tcMar>
              <w:top w:w="60" w:type="dxa"/>
              <w:left w:w="100" w:type="dxa"/>
              <w:bottom w:w="60" w:type="dxa"/>
              <w:right w:w="100" w:type="dxa"/>
            </w:tcMar>
          </w:tcPr>
          <w:p w14:paraId="3B16C5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v0.1</w:t>
            </w:r>
          </w:p>
        </w:tc>
        <w:tc>
          <w:tcPr>
            <w:tcW w:w="1600" w:type="dxa"/>
            <w:tcMar>
              <w:top w:w="60" w:type="dxa"/>
              <w:left w:w="100" w:type="dxa"/>
              <w:bottom w:w="60" w:type="dxa"/>
              <w:right w:w="100" w:type="dxa"/>
            </w:tcMar>
          </w:tcPr>
          <w:p w14:paraId="7396C5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10 de agosto de 2026</w:t>
            </w:r>
          </w:p>
        </w:tc>
        <w:tc>
          <w:tcPr>
            <w:tcW w:w="2200" w:type="dxa"/>
            <w:tcMar>
              <w:top w:w="60" w:type="dxa"/>
              <w:left w:w="100" w:type="dxa"/>
              <w:bottom w:w="60" w:type="dxa"/>
              <w:right w:w="100" w:type="dxa"/>
            </w:tcMar>
          </w:tcPr>
          <w:p w14:paraId="7A24D4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71EA30F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Versión inicial. Estructura completa del documento y prellenado a partir del anteproyecto y del documento técnico-funcional.</w:t>
            </w:r>
          </w:p>
        </w:tc>
      </w:tr>
      <w:tr w:rsidR="00CE2DA2" w:rsidRPr="00317AA7" w14:paraId="1C03E5F6" w14:textId="77777777">
        <w:tc>
          <w:tcPr>
            <w:tcW w:w="1200" w:type="dxa"/>
            <w:tcMar>
              <w:top w:w="60" w:type="dxa"/>
              <w:left w:w="100" w:type="dxa"/>
              <w:bottom w:w="60" w:type="dxa"/>
              <w:right w:w="100" w:type="dxa"/>
            </w:tcMar>
          </w:tcPr>
          <w:p w14:paraId="152CC0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v0.2</w:t>
            </w:r>
          </w:p>
        </w:tc>
        <w:tc>
          <w:tcPr>
            <w:tcW w:w="1600" w:type="dxa"/>
            <w:tcMar>
              <w:top w:w="60" w:type="dxa"/>
              <w:left w:w="100" w:type="dxa"/>
              <w:bottom w:w="60" w:type="dxa"/>
              <w:right w:w="100" w:type="dxa"/>
            </w:tcMar>
          </w:tcPr>
          <w:p w14:paraId="70EF9B3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14 de agosto de 2026</w:t>
            </w:r>
          </w:p>
        </w:tc>
        <w:tc>
          <w:tcPr>
            <w:tcW w:w="2200" w:type="dxa"/>
            <w:tcMar>
              <w:top w:w="60" w:type="dxa"/>
              <w:left w:w="100" w:type="dxa"/>
              <w:bottom w:w="60" w:type="dxa"/>
              <w:right w:w="100" w:type="dxa"/>
            </w:tcMar>
          </w:tcPr>
          <w:p w14:paraId="3321E7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36B0143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Incorporación de los hallazgos del levantamiento de requerimientos con el supervisor de empresa y las áreas de Logística, Compras y Control de Calidad. Cierre de once notas pendientes. La fuente de pedidos pasa de archivo Excel al servicio API de SAP. Se elimina el lead time crítico, se incorpora el estado Cancelado y se añaden los requerimientos de actualización de nave por transbordo y de vista de próximos arribos.</w:t>
            </w:r>
          </w:p>
        </w:tc>
      </w:tr>
    </w:tbl>
    <w:p w14:paraId="1EB33612" w14:textId="77777777" w:rsidR="00CE2DA2" w:rsidRPr="00317AA7" w:rsidRDefault="00CE2DA2">
      <w:pPr>
        <w:rPr>
          <w:rFonts w:ascii="Times New Roman" w:hAnsi="Times New Roman" w:cs="Times New Roman"/>
          <w:color w:val="auto"/>
        </w:rPr>
      </w:pPr>
    </w:p>
    <w:p w14:paraId="5C2E06A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Este documento se mantiene bajo control de versiones en el repositorio del proyecto. Toda modificación posterior a la aprobación de la versión v1.0 debe registrarse en esta tabla e ir acompañada de la aprobación del supervisor de empresa.</w:t>
      </w:r>
    </w:p>
    <w:p w14:paraId="6CC17A99" w14:textId="77777777" w:rsidR="00CE2DA2" w:rsidRPr="00317AA7" w:rsidRDefault="00D91203">
      <w:pPr>
        <w:pageBreakBefore/>
        <w:spacing w:after="200"/>
        <w:rPr>
          <w:rFonts w:ascii="Times New Roman" w:hAnsi="Times New Roman" w:cs="Times New Roman"/>
          <w:color w:val="auto"/>
        </w:rPr>
      </w:pPr>
      <w:r>
        <w:rPr>
          <w:rFonts w:ascii="Times New Roman" w:hAnsi="Times New Roman" w:cs="Times New Roman"/>
          <w:b/>
          <w:bCs/>
          <w:color w:val="auto"/>
          <w:sz w:val="28"/>
          <w:szCs w:val="28"/>
        </w:rPr>
        <w:lastRenderedPageBreak/>
        <w:t>Tabla de contenidos</w:t>
      </w:r>
    </w:p>
    <w:sdt>
      <w:sdtPr>
        <w:rPr>
          <w:rFonts w:ascii="Times New Roman" w:hAnsi="Times New Roman" w:cs="Times New Roman"/>
          <w:color w:val="auto"/>
        </w:rPr>
        <w:alias w:val="Contenido"/>
        <w:id w:val="-1190601421"/>
      </w:sdtPr>
      <w:sdtContent>
        <w:p w14:paraId="7146A2DF" w14:textId="5FACFA3D" w:rsidR="007F1AFD" w:rsidRPr="00317AA7" w:rsidRDefault="00D91203">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r>
            <w:rPr>
              <w:rFonts w:ascii="Times New Roman" w:hAnsi="Times New Roman" w:cs="Times New Roman"/>
              <w:color w:val="auto"/>
            </w:rPr>
            <w:fldChar w:fldCharType="begin"/>
          </w:r>
          <w:r>
            <w:rPr>
              <w:rFonts w:ascii="Times New Roman" w:hAnsi="Times New Roman" w:cs="Times New Roman"/>
              <w:color w:val="auto"/>
            </w:rPr>
            <w:instrText>TOC \h \o "1-3"</w:instrText>
          </w:r>
          <w:r>
            <w:rPr>
              <w:rFonts w:ascii="Times New Roman" w:hAnsi="Times New Roman" w:cs="Times New Roman"/>
              <w:color w:val="auto"/>
            </w:rPr>
            <w:fldChar w:fldCharType="separate"/>
          </w:r>
          <w:hyperlink w:anchor="_Toc237262823" w:history="1">
            <w:r>
              <w:rPr>
                <w:rStyle w:val="Hipervnculo"/>
                <w:rFonts w:ascii="Times New Roman" w:hAnsi="Times New Roman" w:cs="Times New Roman"/>
                <w:noProof/>
                <w:color w:val="auto"/>
              </w:rPr>
              <w:t>1. Introducción</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3DE335DB" w14:textId="13FFE98C"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4" w:history="1">
            <w:r>
              <w:rPr>
                <w:rStyle w:val="Hipervnculo"/>
                <w:rFonts w:ascii="Times New Roman" w:hAnsi="Times New Roman" w:cs="Times New Roman"/>
                <w:noProof/>
                <w:color w:val="auto"/>
              </w:rPr>
              <w:t>1.1 Propósito del documento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5095DB50" w14:textId="7239439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5" w:history="1">
            <w:r>
              <w:rPr>
                <w:rStyle w:val="Hipervnculo"/>
                <w:rFonts w:ascii="Times New Roman" w:hAnsi="Times New Roman" w:cs="Times New Roman"/>
                <w:noProof/>
                <w:color w:val="auto"/>
              </w:rPr>
              <w:t>1.2 Alcance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200B7437" w14:textId="3DA1F27A" w:rsidR="007F1AFD" w:rsidRPr="00317AA7" w:rsidRDefault="007F1AFD">
          <w:pPr>
            <w:pStyle w:val="TDC3"/>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6" w:history="1">
            <w:r>
              <w:rPr>
                <w:rStyle w:val="Hipervnculo"/>
                <w:rFonts w:ascii="Times New Roman" w:hAnsi="Times New Roman" w:cs="Times New Roman"/>
                <w:noProof/>
                <w:color w:val="auto"/>
              </w:rPr>
              <w:t>1.2.1 Dentro del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727627E3" w14:textId="13B2CFED" w:rsidR="007F1AFD" w:rsidRPr="00317AA7" w:rsidRDefault="007F1AFD">
          <w:pPr>
            <w:pStyle w:val="TDC3"/>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7" w:history="1">
            <w:r>
              <w:rPr>
                <w:rStyle w:val="Hipervnculo"/>
                <w:rFonts w:ascii="Times New Roman" w:hAnsi="Times New Roman" w:cs="Times New Roman"/>
                <w:noProof/>
                <w:color w:val="auto"/>
              </w:rPr>
              <w:t>1.2.2 Fuera del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6</w:t>
            </w:r>
            <w:r>
              <w:rPr>
                <w:rFonts w:ascii="Times New Roman" w:hAnsi="Times New Roman" w:cs="Times New Roman"/>
                <w:noProof/>
                <w:color w:val="auto"/>
              </w:rPr>
              <w:fldChar w:fldCharType="end"/>
            </w:r>
          </w:hyperlink>
        </w:p>
        <w:p w14:paraId="39E51B5D" w14:textId="112D626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8" w:history="1">
            <w:r>
              <w:rPr>
                <w:rStyle w:val="Hipervnculo"/>
                <w:rFonts w:ascii="Times New Roman" w:hAnsi="Times New Roman" w:cs="Times New Roman"/>
                <w:noProof/>
                <w:color w:val="auto"/>
              </w:rPr>
              <w:t>1.3 Definiciones, acrónimos y abreviaciones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6</w:t>
            </w:r>
            <w:r>
              <w:rPr>
                <w:rFonts w:ascii="Times New Roman" w:hAnsi="Times New Roman" w:cs="Times New Roman"/>
                <w:noProof/>
                <w:color w:val="auto"/>
              </w:rPr>
              <w:fldChar w:fldCharType="end"/>
            </w:r>
          </w:hyperlink>
        </w:p>
        <w:p w14:paraId="255787D8" w14:textId="17E5FF34"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9" w:history="1">
            <w:r>
              <w:rPr>
                <w:rStyle w:val="Hipervnculo"/>
                <w:rFonts w:ascii="Times New Roman" w:hAnsi="Times New Roman" w:cs="Times New Roman"/>
                <w:noProof/>
                <w:color w:val="auto"/>
              </w:rPr>
              <w:t>1.4 Referencias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7</w:t>
            </w:r>
            <w:r>
              <w:rPr>
                <w:rFonts w:ascii="Times New Roman" w:hAnsi="Times New Roman" w:cs="Times New Roman"/>
                <w:noProof/>
                <w:color w:val="auto"/>
              </w:rPr>
              <w:fldChar w:fldCharType="end"/>
            </w:r>
          </w:hyperlink>
        </w:p>
        <w:p w14:paraId="2A0320C4" w14:textId="4EAB7E3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0" w:history="1">
            <w:r>
              <w:rPr>
                <w:rStyle w:val="Hipervnculo"/>
                <w:rFonts w:ascii="Times New Roman" w:hAnsi="Times New Roman" w:cs="Times New Roman"/>
                <w:noProof/>
                <w:color w:val="auto"/>
              </w:rPr>
              <w:t>1.5 Visión general del documento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8</w:t>
            </w:r>
            <w:r>
              <w:rPr>
                <w:rFonts w:ascii="Times New Roman" w:hAnsi="Times New Roman" w:cs="Times New Roman"/>
                <w:noProof/>
                <w:color w:val="auto"/>
              </w:rPr>
              <w:fldChar w:fldCharType="end"/>
            </w:r>
          </w:hyperlink>
        </w:p>
        <w:p w14:paraId="550CDAFD" w14:textId="045C2CA7"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1" w:history="1">
            <w:r>
              <w:rPr>
                <w:rStyle w:val="Hipervnculo"/>
                <w:rFonts w:ascii="Times New Roman" w:hAnsi="Times New Roman" w:cs="Times New Roman"/>
                <w:noProof/>
                <w:color w:val="auto"/>
              </w:rPr>
              <w:t>2. Descripción general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693A094E" w14:textId="5D57857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2" w:history="1">
            <w:r>
              <w:rPr>
                <w:rStyle w:val="Hipervnculo"/>
                <w:rFonts w:ascii="Times New Roman" w:hAnsi="Times New Roman" w:cs="Times New Roman"/>
                <w:noProof/>
                <w:color w:val="auto"/>
              </w:rPr>
              <w:t>2.1 Perspectiva del producto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7283D6AA" w14:textId="1CF0A21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3" w:history="1">
            <w:r>
              <w:rPr>
                <w:rStyle w:val="Hipervnculo"/>
                <w:rFonts w:ascii="Times New Roman" w:hAnsi="Times New Roman" w:cs="Times New Roman"/>
                <w:noProof/>
                <w:color w:val="auto"/>
              </w:rPr>
              <w:t>2.2 Funcionalidades del producto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46CF3616" w14:textId="2AEDE43F"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4" w:history="1">
            <w:r>
              <w:rPr>
                <w:rStyle w:val="Hipervnculo"/>
                <w:rFonts w:ascii="Times New Roman" w:hAnsi="Times New Roman" w:cs="Times New Roman"/>
                <w:noProof/>
                <w:color w:val="auto"/>
              </w:rPr>
              <w:t>2.3 Características de los usuarios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10</w:t>
            </w:r>
            <w:r>
              <w:rPr>
                <w:rFonts w:ascii="Times New Roman" w:hAnsi="Times New Roman" w:cs="Times New Roman"/>
                <w:noProof/>
                <w:color w:val="auto"/>
              </w:rPr>
              <w:fldChar w:fldCharType="end"/>
            </w:r>
          </w:hyperlink>
        </w:p>
        <w:p w14:paraId="165ACD6D" w14:textId="31628DE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5" w:history="1">
            <w:r>
              <w:rPr>
                <w:rStyle w:val="Hipervnculo"/>
                <w:rFonts w:ascii="Times New Roman" w:hAnsi="Times New Roman" w:cs="Times New Roman"/>
                <w:noProof/>
                <w:color w:val="auto"/>
              </w:rPr>
              <w:t>2.4 Restricciones generales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10</w:t>
            </w:r>
            <w:r>
              <w:rPr>
                <w:rFonts w:ascii="Times New Roman" w:hAnsi="Times New Roman" w:cs="Times New Roman"/>
                <w:noProof/>
                <w:color w:val="auto"/>
              </w:rPr>
              <w:fldChar w:fldCharType="end"/>
            </w:r>
          </w:hyperlink>
        </w:p>
        <w:p w14:paraId="34878380" w14:textId="191451C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6" w:history="1">
            <w:r>
              <w:rPr>
                <w:rStyle w:val="Hipervnculo"/>
                <w:rFonts w:ascii="Times New Roman" w:hAnsi="Times New Roman" w:cs="Times New Roman"/>
                <w:noProof/>
                <w:color w:val="auto"/>
              </w:rPr>
              <w:t>2.5 Suposiciones y dependencias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11</w:t>
            </w:r>
            <w:r>
              <w:rPr>
                <w:rFonts w:ascii="Times New Roman" w:hAnsi="Times New Roman" w:cs="Times New Roman"/>
                <w:noProof/>
                <w:color w:val="auto"/>
              </w:rPr>
              <w:fldChar w:fldCharType="end"/>
            </w:r>
          </w:hyperlink>
        </w:p>
        <w:p w14:paraId="4DCC821E" w14:textId="44DF429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7" w:history="1">
            <w:r>
              <w:rPr>
                <w:rStyle w:val="Hipervnculo"/>
                <w:rFonts w:ascii="Times New Roman" w:hAnsi="Times New Roman" w:cs="Times New Roman"/>
                <w:noProof/>
                <w:color w:val="auto"/>
              </w:rPr>
              <w:t>2.6 Documentos aplicables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11</w:t>
            </w:r>
            <w:r>
              <w:rPr>
                <w:rFonts w:ascii="Times New Roman" w:hAnsi="Times New Roman" w:cs="Times New Roman"/>
                <w:noProof/>
                <w:color w:val="auto"/>
              </w:rPr>
              <w:fldChar w:fldCharType="end"/>
            </w:r>
          </w:hyperlink>
        </w:p>
        <w:p w14:paraId="39A890B7" w14:textId="4718E31F"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8" w:history="1">
            <w:r>
              <w:rPr>
                <w:rStyle w:val="Hipervnculo"/>
                <w:rFonts w:ascii="Times New Roman" w:hAnsi="Times New Roman" w:cs="Times New Roman"/>
                <w:noProof/>
                <w:color w:val="auto"/>
              </w:rPr>
              <w:t>3. Actores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12</w:t>
            </w:r>
            <w:r>
              <w:rPr>
                <w:rFonts w:ascii="Times New Roman" w:hAnsi="Times New Roman" w:cs="Times New Roman"/>
                <w:noProof/>
                <w:color w:val="auto"/>
              </w:rPr>
              <w:fldChar w:fldCharType="end"/>
            </w:r>
          </w:hyperlink>
        </w:p>
        <w:p w14:paraId="12C491D4" w14:textId="179AFE4D"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9" w:history="1">
            <w:r>
              <w:rPr>
                <w:rStyle w:val="Hipervnculo"/>
                <w:rFonts w:ascii="Times New Roman" w:hAnsi="Times New Roman" w:cs="Times New Roman"/>
                <w:noProof/>
                <w:color w:val="auto"/>
              </w:rPr>
              <w:t>4. Requerimientos funcionales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13</w:t>
            </w:r>
            <w:r>
              <w:rPr>
                <w:rFonts w:ascii="Times New Roman" w:hAnsi="Times New Roman" w:cs="Times New Roman"/>
                <w:noProof/>
                <w:color w:val="auto"/>
              </w:rPr>
              <w:fldChar w:fldCharType="end"/>
            </w:r>
          </w:hyperlink>
        </w:p>
        <w:p w14:paraId="1A1B2139" w14:textId="07BB1BB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0" w:history="1">
            <w:r>
              <w:rPr>
                <w:rStyle w:val="Hipervnculo"/>
                <w:rFonts w:ascii="Times New Roman" w:hAnsi="Times New Roman" w:cs="Times New Roman"/>
                <w:noProof/>
                <w:color w:val="auto"/>
              </w:rPr>
              <w:t>4.1 Gestión de pedidos en tránsito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13</w:t>
            </w:r>
            <w:r>
              <w:rPr>
                <w:rFonts w:ascii="Times New Roman" w:hAnsi="Times New Roman" w:cs="Times New Roman"/>
                <w:noProof/>
                <w:color w:val="auto"/>
              </w:rPr>
              <w:fldChar w:fldCharType="end"/>
            </w:r>
          </w:hyperlink>
        </w:p>
        <w:p w14:paraId="1DD64BD2" w14:textId="481354B8"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1" w:history="1">
            <w:r>
              <w:rPr>
                <w:rStyle w:val="Hipervnculo"/>
                <w:rFonts w:ascii="Times New Roman" w:hAnsi="Times New Roman" w:cs="Times New Roman"/>
                <w:noProof/>
                <w:color w:val="auto"/>
              </w:rPr>
              <w:t>4.2 Integración con APIs externas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15</w:t>
            </w:r>
            <w:r>
              <w:rPr>
                <w:rFonts w:ascii="Times New Roman" w:hAnsi="Times New Roman" w:cs="Times New Roman"/>
                <w:noProof/>
                <w:color w:val="auto"/>
              </w:rPr>
              <w:fldChar w:fldCharType="end"/>
            </w:r>
          </w:hyperlink>
        </w:p>
        <w:p w14:paraId="41276F09" w14:textId="7F6E6DFF"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2" w:history="1">
            <w:r>
              <w:rPr>
                <w:rStyle w:val="Hipervnculo"/>
                <w:rFonts w:ascii="Times New Roman" w:hAnsi="Times New Roman" w:cs="Times New Roman"/>
                <w:noProof/>
                <w:color w:val="auto"/>
              </w:rPr>
              <w:t>4.3 Cálculo automático de estados logísticos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16</w:t>
            </w:r>
            <w:r>
              <w:rPr>
                <w:rFonts w:ascii="Times New Roman" w:hAnsi="Times New Roman" w:cs="Times New Roman"/>
                <w:noProof/>
                <w:color w:val="auto"/>
              </w:rPr>
              <w:fldChar w:fldCharType="end"/>
            </w:r>
          </w:hyperlink>
        </w:p>
        <w:p w14:paraId="20DB8B81" w14:textId="7B77399D"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3" w:history="1">
            <w:r>
              <w:rPr>
                <w:rStyle w:val="Hipervnculo"/>
                <w:rFonts w:ascii="Times New Roman" w:hAnsi="Times New Roman" w:cs="Times New Roman"/>
                <w:noProof/>
                <w:color w:val="auto"/>
              </w:rPr>
              <w:t>4.4 Confirmación manual de desembarco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17</w:t>
            </w:r>
            <w:r>
              <w:rPr>
                <w:rFonts w:ascii="Times New Roman" w:hAnsi="Times New Roman" w:cs="Times New Roman"/>
                <w:noProof/>
                <w:color w:val="auto"/>
              </w:rPr>
              <w:fldChar w:fldCharType="end"/>
            </w:r>
          </w:hyperlink>
        </w:p>
        <w:p w14:paraId="2183A889" w14:textId="5FC265B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4" w:history="1">
            <w:r>
              <w:rPr>
                <w:rStyle w:val="Hipervnculo"/>
                <w:rFonts w:ascii="Times New Roman" w:hAnsi="Times New Roman" w:cs="Times New Roman"/>
                <w:noProof/>
                <w:color w:val="auto"/>
              </w:rPr>
              <w:t>4.5 Visualización en el dashboard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18</w:t>
            </w:r>
            <w:r>
              <w:rPr>
                <w:rFonts w:ascii="Times New Roman" w:hAnsi="Times New Roman" w:cs="Times New Roman"/>
                <w:noProof/>
                <w:color w:val="auto"/>
              </w:rPr>
              <w:fldChar w:fldCharType="end"/>
            </w:r>
          </w:hyperlink>
        </w:p>
        <w:p w14:paraId="52E54CFC" w14:textId="1BFECEB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5" w:history="1">
            <w:r>
              <w:rPr>
                <w:rStyle w:val="Hipervnculo"/>
                <w:rFonts w:ascii="Times New Roman" w:hAnsi="Times New Roman" w:cs="Times New Roman"/>
                <w:noProof/>
                <w:color w:val="auto"/>
              </w:rPr>
              <w:t>4.6 Historial de tracking</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20</w:t>
            </w:r>
            <w:r>
              <w:rPr>
                <w:rFonts w:ascii="Times New Roman" w:hAnsi="Times New Roman" w:cs="Times New Roman"/>
                <w:noProof/>
                <w:color w:val="auto"/>
              </w:rPr>
              <w:fldChar w:fldCharType="end"/>
            </w:r>
          </w:hyperlink>
        </w:p>
        <w:p w14:paraId="41C748BF" w14:textId="1D949FE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6" w:history="1">
            <w:r>
              <w:rPr>
                <w:rStyle w:val="Hipervnculo"/>
                <w:rFonts w:ascii="Times New Roman" w:hAnsi="Times New Roman" w:cs="Times New Roman"/>
                <w:noProof/>
                <w:color w:val="auto"/>
              </w:rPr>
              <w:t>4.7 Administración de datos maestros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20</w:t>
            </w:r>
            <w:r>
              <w:rPr>
                <w:rFonts w:ascii="Times New Roman" w:hAnsi="Times New Roman" w:cs="Times New Roman"/>
                <w:noProof/>
                <w:color w:val="auto"/>
              </w:rPr>
              <w:fldChar w:fldCharType="end"/>
            </w:r>
          </w:hyperlink>
        </w:p>
        <w:p w14:paraId="153EA221" w14:textId="41A0DAF3"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7" w:history="1">
            <w:r>
              <w:rPr>
                <w:rStyle w:val="Hipervnculo"/>
                <w:rFonts w:ascii="Times New Roman" w:hAnsi="Times New Roman" w:cs="Times New Roman"/>
                <w:noProof/>
                <w:color w:val="auto"/>
              </w:rPr>
              <w:t>5. Requerimientos no funcionales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1EDE7E31" w14:textId="3974984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8" w:history="1">
            <w:r>
              <w:rPr>
                <w:rStyle w:val="Hipervnculo"/>
                <w:rFonts w:ascii="Times New Roman" w:hAnsi="Times New Roman" w:cs="Times New Roman"/>
                <w:noProof/>
                <w:color w:val="auto"/>
              </w:rPr>
              <w:t>5.1 Rendimiento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589BEC1A" w14:textId="7CC17AF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9" w:history="1">
            <w:r>
              <w:rPr>
                <w:rStyle w:val="Hipervnculo"/>
                <w:rFonts w:ascii="Times New Roman" w:hAnsi="Times New Roman" w:cs="Times New Roman"/>
                <w:noProof/>
                <w:color w:val="auto"/>
              </w:rPr>
              <w:t>5.2 Seguridad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70BD742A" w14:textId="4841BCC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0" w:history="1">
            <w:r>
              <w:rPr>
                <w:rStyle w:val="Hipervnculo"/>
                <w:rFonts w:ascii="Times New Roman" w:hAnsi="Times New Roman" w:cs="Times New Roman"/>
                <w:noProof/>
                <w:color w:val="auto"/>
              </w:rPr>
              <w:t>5.3 Usabilidad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2F1E5D7B" w14:textId="708176A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1" w:history="1">
            <w:r>
              <w:rPr>
                <w:rStyle w:val="Hipervnculo"/>
                <w:rFonts w:ascii="Times New Roman" w:hAnsi="Times New Roman" w:cs="Times New Roman"/>
                <w:noProof/>
                <w:color w:val="auto"/>
              </w:rPr>
              <w:t>5.4 Confiabilidad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3AF4F2A7" w14:textId="6FEAE9A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2" w:history="1">
            <w:r>
              <w:rPr>
                <w:rStyle w:val="Hipervnculo"/>
                <w:rFonts w:ascii="Times New Roman" w:hAnsi="Times New Roman" w:cs="Times New Roman"/>
                <w:noProof/>
                <w:color w:val="auto"/>
              </w:rPr>
              <w:t>5.5 Mantenibilidad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620DC8A2" w14:textId="534CAD0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3" w:history="1">
            <w:r>
              <w:rPr>
                <w:rStyle w:val="Hipervnculo"/>
                <w:rFonts w:ascii="Times New Roman" w:hAnsi="Times New Roman" w:cs="Times New Roman"/>
                <w:noProof/>
                <w:color w:val="auto"/>
              </w:rPr>
              <w:t>5.6 Portabilidad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45D6D222" w14:textId="29D396F6"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4" w:history="1">
            <w:r>
              <w:rPr>
                <w:rStyle w:val="Hipervnculo"/>
                <w:rFonts w:ascii="Times New Roman" w:hAnsi="Times New Roman" w:cs="Times New Roman"/>
                <w:noProof/>
                <w:color w:val="auto"/>
              </w:rPr>
              <w:t>5.7 Escalabilidad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5D482FAD" w14:textId="536C6C9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5" w:history="1">
            <w:r>
              <w:rPr>
                <w:rStyle w:val="Hipervnculo"/>
                <w:rFonts w:ascii="Times New Roman" w:hAnsi="Times New Roman" w:cs="Times New Roman"/>
                <w:noProof/>
                <w:color w:val="auto"/>
              </w:rPr>
              <w:t>5.8 Restricciones tecnológicas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24</w:t>
            </w:r>
            <w:r>
              <w:rPr>
                <w:rFonts w:ascii="Times New Roman" w:hAnsi="Times New Roman" w:cs="Times New Roman"/>
                <w:noProof/>
                <w:color w:val="auto"/>
              </w:rPr>
              <w:fldChar w:fldCharType="end"/>
            </w:r>
          </w:hyperlink>
        </w:p>
        <w:p w14:paraId="3559EB12" w14:textId="5C14B00C"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6" w:history="1">
            <w:r>
              <w:rPr>
                <w:rStyle w:val="Hipervnculo"/>
                <w:rFonts w:ascii="Times New Roman" w:hAnsi="Times New Roman" w:cs="Times New Roman"/>
                <w:noProof/>
                <w:color w:val="auto"/>
              </w:rPr>
              <w:t>6. Casos de uso principales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25</w:t>
            </w:r>
            <w:r>
              <w:rPr>
                <w:rFonts w:ascii="Times New Roman" w:hAnsi="Times New Roman" w:cs="Times New Roman"/>
                <w:noProof/>
                <w:color w:val="auto"/>
              </w:rPr>
              <w:fldChar w:fldCharType="end"/>
            </w:r>
          </w:hyperlink>
        </w:p>
        <w:p w14:paraId="559BE89B" w14:textId="02B9ABCF"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7" w:history="1">
            <w:r>
              <w:rPr>
                <w:rStyle w:val="Hipervnculo"/>
                <w:rFonts w:ascii="Times New Roman" w:hAnsi="Times New Roman" w:cs="Times New Roman"/>
                <w:noProof/>
                <w:color w:val="auto"/>
              </w:rPr>
              <w:t>7. Reglas de negocio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59375EB2" w14:textId="41A9ED2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8" w:history="1">
            <w:r>
              <w:rPr>
                <w:rStyle w:val="Hipervnculo"/>
                <w:rFonts w:ascii="Times New Roman" w:hAnsi="Times New Roman" w:cs="Times New Roman"/>
                <w:noProof/>
                <w:color w:val="auto"/>
              </w:rPr>
              <w:t>7.1 Regla de cálculo fundamental</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3C38AB14" w14:textId="346A737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9" w:history="1">
            <w:r>
              <w:rPr>
                <w:rStyle w:val="Hipervnculo"/>
                <w:rFonts w:ascii="Times New Roman" w:hAnsi="Times New Roman" w:cs="Times New Roman"/>
                <w:noProof/>
                <w:color w:val="auto"/>
              </w:rPr>
              <w:t>7.2 Estados del ciclo de vida del pedido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650804FE" w14:textId="00E920A4"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0" w:history="1">
            <w:r>
              <w:rPr>
                <w:rStyle w:val="Hipervnculo"/>
                <w:rFonts w:ascii="Times New Roman" w:hAnsi="Times New Roman" w:cs="Times New Roman"/>
                <w:noProof/>
                <w:color w:val="auto"/>
              </w:rPr>
              <w:t>7.3 Reglas complementarias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31</w:t>
            </w:r>
            <w:r>
              <w:rPr>
                <w:rFonts w:ascii="Times New Roman" w:hAnsi="Times New Roman" w:cs="Times New Roman"/>
                <w:noProof/>
                <w:color w:val="auto"/>
              </w:rPr>
              <w:fldChar w:fldCharType="end"/>
            </w:r>
          </w:hyperlink>
        </w:p>
        <w:p w14:paraId="7FB45F3C" w14:textId="3166B170"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1" w:history="1">
            <w:r>
              <w:rPr>
                <w:rStyle w:val="Hipervnculo"/>
                <w:rFonts w:ascii="Times New Roman" w:hAnsi="Times New Roman" w:cs="Times New Roman"/>
                <w:noProof/>
                <w:color w:val="auto"/>
              </w:rPr>
              <w:t>8. Modelo de datos preliminar</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45B66E44" w14:textId="0015DFA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2" w:history="1">
            <w:r>
              <w:rPr>
                <w:rStyle w:val="Hipervnculo"/>
                <w:rFonts w:ascii="Times New Roman" w:hAnsi="Times New Roman" w:cs="Times New Roman"/>
                <w:noProof/>
                <w:color w:val="auto"/>
              </w:rPr>
              <w:t>8.1 Entidades identificadas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02B10F15" w14:textId="0E19DE2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3" w:history="1">
            <w:r>
              <w:rPr>
                <w:rStyle w:val="Hipervnculo"/>
                <w:rFonts w:ascii="Times New Roman" w:hAnsi="Times New Roman" w:cs="Times New Roman"/>
                <w:noProof/>
                <w:color w:val="auto"/>
              </w:rPr>
              <w:t>8.2 Campos preliminares de pedidos_transito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5D9C4D14" w14:textId="2A25048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4" w:history="1">
            <w:r>
              <w:rPr>
                <w:rStyle w:val="Hipervnculo"/>
                <w:rFonts w:ascii="Times New Roman" w:hAnsi="Times New Roman" w:cs="Times New Roman"/>
                <w:noProof/>
                <w:color w:val="auto"/>
              </w:rPr>
              <w:t>8.3 Campos preliminares de maestro_destinos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5045D7CD" w14:textId="2CD19BEC"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5" w:history="1">
            <w:r>
              <w:rPr>
                <w:rStyle w:val="Hipervnculo"/>
                <w:rFonts w:ascii="Times New Roman" w:hAnsi="Times New Roman" w:cs="Times New Roman"/>
                <w:noProof/>
                <w:color w:val="auto"/>
              </w:rPr>
              <w:t>8.4 Campos preliminares de historial_tracking</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5C99C464" w14:textId="7777777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5" w:history="1">
            <w:r>
              <w:rPr>
                <w:rStyle w:val="Hipervnculo"/>
                <w:rFonts w:ascii="Times New Roman" w:hAnsi="Times New Roman" w:cs="Times New Roman"/>
                <w:noProof/>
                <w:color w:val="auto"/>
              </w:rPr>
              <w:t>8.5 Campos preliminares de elementos_rastreados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2274B4A8" w14:textId="36D5BDF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6" w:history="1">
            <w:r>
              <w:rPr>
                <w:rStyle w:val="Hipervnculo"/>
                <w:rFonts w:ascii="Times New Roman" w:hAnsi="Times New Roman" w:cs="Times New Roman"/>
                <w:noProof/>
                <w:color w:val="auto"/>
              </w:rPr>
              <w:t>8.6 Consideraciones geoespaciales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35</w:t>
            </w:r>
            <w:r>
              <w:rPr>
                <w:rFonts w:ascii="Times New Roman" w:hAnsi="Times New Roman" w:cs="Times New Roman"/>
                <w:noProof/>
                <w:color w:val="auto"/>
              </w:rPr>
              <w:fldChar w:fldCharType="end"/>
            </w:r>
          </w:hyperlink>
        </w:p>
        <w:p w14:paraId="72435B0F" w14:textId="406B4EF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7" w:history="1">
            <w:r>
              <w:rPr>
                <w:rStyle w:val="Hipervnculo"/>
                <w:rFonts w:ascii="Times New Roman" w:hAnsi="Times New Roman" w:cs="Times New Roman"/>
                <w:noProof/>
                <w:color w:val="auto"/>
              </w:rPr>
              <w:t>9. Restricciones y supuestos del proyecto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1D0939F9" w14:textId="663CA7A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8" w:history="1">
            <w:r>
              <w:rPr>
                <w:rStyle w:val="Hipervnculo"/>
                <w:rFonts w:ascii="Times New Roman" w:hAnsi="Times New Roman" w:cs="Times New Roman"/>
                <w:noProof/>
                <w:color w:val="auto"/>
              </w:rPr>
              <w:t>9.1 Restricciones de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0601D21D" w14:textId="4AF36BC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9" w:history="1">
            <w:r>
              <w:rPr>
                <w:rStyle w:val="Hipervnculo"/>
                <w:rFonts w:ascii="Times New Roman" w:hAnsi="Times New Roman" w:cs="Times New Roman"/>
                <w:noProof/>
                <w:color w:val="auto"/>
              </w:rPr>
              <w:t>9.2 Restricciones de tiempo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0EE64F0C" w14:textId="4A37602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0" w:history="1">
            <w:r>
              <w:rPr>
                <w:rStyle w:val="Hipervnculo"/>
                <w:rFonts w:ascii="Times New Roman" w:hAnsi="Times New Roman" w:cs="Times New Roman"/>
                <w:noProof/>
                <w:color w:val="auto"/>
              </w:rPr>
              <w:t>9.3 Restricciones tecnológicas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34732ECA" w14:textId="0FD1E246"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1" w:history="1">
            <w:r>
              <w:rPr>
                <w:rStyle w:val="Hipervnculo"/>
                <w:rFonts w:ascii="Times New Roman" w:hAnsi="Times New Roman" w:cs="Times New Roman"/>
                <w:noProof/>
                <w:color w:val="auto"/>
              </w:rPr>
              <w:t>9.4 Supuestos sobre datos, accesos y usuarios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41D6D466" w14:textId="63C79C47"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2" w:history="1">
            <w:r>
              <w:rPr>
                <w:rStyle w:val="Hipervnculo"/>
                <w:rFonts w:ascii="Times New Roman" w:hAnsi="Times New Roman" w:cs="Times New Roman"/>
                <w:noProof/>
                <w:color w:val="auto"/>
              </w:rPr>
              <w:t>10. Criterios de aceptación general</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38</w:t>
            </w:r>
            <w:r>
              <w:rPr>
                <w:rFonts w:ascii="Times New Roman" w:hAnsi="Times New Roman" w:cs="Times New Roman"/>
                <w:noProof/>
                <w:color w:val="auto"/>
              </w:rPr>
              <w:fldChar w:fldCharType="end"/>
            </w:r>
          </w:hyperlink>
        </w:p>
        <w:p w14:paraId="699F1ECD" w14:textId="0921148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3" w:history="1">
            <w:r>
              <w:rPr>
                <w:rStyle w:val="Hipervnculo"/>
                <w:rFonts w:ascii="Times New Roman" w:hAnsi="Times New Roman" w:cs="Times New Roman"/>
                <w:noProof/>
                <w:color w:val="auto"/>
              </w:rPr>
              <w:t>Anexo A. Glosario extendido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39</w:t>
            </w:r>
            <w:r>
              <w:rPr>
                <w:rFonts w:ascii="Times New Roman" w:hAnsi="Times New Roman" w:cs="Times New Roman"/>
                <w:noProof/>
                <w:color w:val="auto"/>
              </w:rPr>
              <w:fldChar w:fldCharType="end"/>
            </w:r>
          </w:hyperlink>
        </w:p>
        <w:p w14:paraId="186D7ED5" w14:textId="607D7811"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4" w:history="1">
            <w:r>
              <w:rPr>
                <w:rStyle w:val="Hipervnculo"/>
                <w:rFonts w:ascii="Times New Roman" w:hAnsi="Times New Roman" w:cs="Times New Roman"/>
                <w:noProof/>
                <w:color w:val="auto"/>
              </w:rPr>
              <w:t>Anexo B. Contrato de datos del servicio API de SAP</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40</w:t>
            </w:r>
            <w:r>
              <w:rPr>
                <w:rFonts w:ascii="Times New Roman" w:hAnsi="Times New Roman" w:cs="Times New Roman"/>
                <w:noProof/>
                <w:color w:val="auto"/>
              </w:rPr>
              <w:fldChar w:fldCharType="end"/>
            </w:r>
          </w:hyperlink>
        </w:p>
        <w:p w14:paraId="3BA77B7C" w14:textId="27E70E7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5" w:history="1">
            <w:r>
              <w:rPr>
                <w:rStyle w:val="Hipervnculo"/>
                <w:rFonts w:ascii="Times New Roman" w:hAnsi="Times New Roman" w:cs="Times New Roman"/>
                <w:noProof/>
                <w:color w:val="auto"/>
              </w:rPr>
              <w:t>Anexo C. Referencias técnicas de las APIs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2339102D" w14:textId="6014480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6" w:history="1">
            <w:r>
              <w:rPr>
                <w:rStyle w:val="Hipervnculo"/>
                <w:rFonts w:ascii="Times New Roman" w:hAnsi="Times New Roman" w:cs="Times New Roman"/>
                <w:noProof/>
                <w:color w:val="auto"/>
              </w:rPr>
              <w:t>C.1 Fuentes de rastreo evaluadas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5F2E56CD" w14:textId="150F19A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7" w:history="1">
            <w:r>
              <w:rPr>
                <w:rStyle w:val="Hipervnculo"/>
                <w:rFonts w:ascii="Times New Roman" w:hAnsi="Times New Roman" w:cs="Times New Roman"/>
                <w:noProof/>
                <w:color w:val="auto"/>
              </w:rPr>
              <w:t>C.2 Consideración crítica sobre el alcance del rastreo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0FC4E91E" w14:textId="5140472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8" w:history="1">
            <w:r>
              <w:rPr>
                <w:rStyle w:val="Hipervnculo"/>
                <w:rFonts w:ascii="Times New Roman" w:hAnsi="Times New Roman" w:cs="Times New Roman"/>
                <w:noProof/>
                <w:color w:val="auto"/>
              </w:rPr>
              <w:t>C.3 Enlaces de documentación</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6C5BDB10" w14:textId="102FD3EE" w:rsidR="00CE2DA2" w:rsidRPr="00317AA7" w:rsidRDefault="00D91203">
          <w:pPr>
            <w:rPr>
              <w:rFonts w:ascii="Times New Roman" w:hAnsi="Times New Roman" w:cs="Times New Roman"/>
              <w:color w:val="auto"/>
            </w:rPr>
          </w:pPr>
          <w:r>
            <w:rPr>
              <w:rFonts w:ascii="Times New Roman" w:hAnsi="Times New Roman" w:cs="Times New Roman"/>
              <w:color w:val="auto"/>
            </w:rPr>
            <w:fldChar w:fldCharType="end"/>
          </w:r>
        </w:p>
      </w:sdtContent>
    </w:sdt>
    <w:p w14:paraId="1AEFE56F" w14:textId="77777777" w:rsidR="00CE2DA2" w:rsidRPr="00317AA7" w:rsidRDefault="00D91203">
      <w:pPr>
        <w:pStyle w:val="Ttulo1"/>
        <w:pageBreakBefore/>
        <w:rPr>
          <w:rFonts w:ascii="Times New Roman" w:hAnsi="Times New Roman" w:cs="Times New Roman"/>
          <w:color w:val="auto"/>
        </w:rPr>
      </w:pPr>
      <w:bookmarkStart w:id="0" w:name="_Toc237262823"/>
      <w:r>
        <w:rPr>
          <w:rFonts w:ascii="Times New Roman" w:hAnsi="Times New Roman" w:cs="Times New Roman"/>
          <w:color w:val="auto"/>
        </w:rPr>
        <w:lastRenderedPageBreak/>
        <w:t>1. Introducción</w:t>
      </w:r>
      <w:bookmarkEnd w:id="0"/>
    </w:p>
    <w:p w14:paraId="0041871B" w14:textId="77777777" w:rsidR="00CE2DA2" w:rsidRPr="00317AA7" w:rsidRDefault="00D91203">
      <w:pPr>
        <w:pStyle w:val="Ttulo2"/>
        <w:rPr>
          <w:rFonts w:ascii="Times New Roman" w:hAnsi="Times New Roman" w:cs="Times New Roman"/>
          <w:color w:val="auto"/>
        </w:rPr>
      </w:pPr>
      <w:bookmarkStart w:id="1" w:name="_Toc237262824"/>
      <w:r>
        <w:rPr>
          <w:rFonts w:ascii="Times New Roman" w:hAnsi="Times New Roman" w:cs="Times New Roman"/>
          <w:color w:val="auto"/>
        </w:rPr>
        <w:t>1.1 Propósito del documento</w:t>
      </w:r>
      <w:bookmarkEnd w:id="1"/>
    </w:p>
    <w:p w14:paraId="0B77E7D2"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Este documento especifica los requerimientos funcionales y no funcionales del sistema TrackIn, una aplicación web empresarial para el seguimiento logístico de compras internacionales de insumos farmacéuticos de Laboratorios Gutis Ltda.</w:t>
      </w:r>
    </w:p>
    <w:p w14:paraId="41709947"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documento persigue tres fines. Primero, servir de base contractual entre el estudiante practicante, Laboratorios Gutis y la Escuela de Ingeniería en Computación del Instituto Tecnológico de Costa Rica, delimitando de forma inequívoca qué se construirá durante la Práctica Profesional. Segundo, guiar las etapas de diseño, construcción y prueba del sistema, sirviendo de referencia para el diseño del modelo de datos y de la arquitectura. Tercero, establecer los criterios objetivos contra los cuales se verificará la aceptación de cada entregable.</w:t>
      </w:r>
    </w:p>
    <w:p w14:paraId="34A5C93E"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La audiencia prevista comprende al supervisor de empresa, al profesor asesor, a los usuarios clave de las áreas de Compras, Logística y Planificación de Producción, y al personal técnico del Centro de Competencias que asumirá el mantenimiento y el eventual despliegue productivo del sistema.</w:t>
      </w:r>
    </w:p>
    <w:p w14:paraId="47DDFB94" w14:textId="6AAF4D41"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Este documento corresponde al primero de los productos esperados del Objetivo Específico 1 del anteproyecto; el documento de especificación de requerimientos funcionales y no funcionales.</w:t>
      </w:r>
    </w:p>
    <w:p w14:paraId="2A092D51" w14:textId="77777777" w:rsidR="00CE2DA2" w:rsidRPr="00317AA7" w:rsidRDefault="00D91203">
      <w:pPr>
        <w:pStyle w:val="Ttulo2"/>
        <w:rPr>
          <w:rFonts w:ascii="Times New Roman" w:hAnsi="Times New Roman" w:cs="Times New Roman"/>
          <w:color w:val="auto"/>
        </w:rPr>
      </w:pPr>
      <w:bookmarkStart w:id="2" w:name="_Toc237262825"/>
      <w:r>
        <w:rPr>
          <w:rFonts w:ascii="Times New Roman" w:hAnsi="Times New Roman" w:cs="Times New Roman"/>
          <w:color w:val="auto"/>
        </w:rPr>
        <w:t>1.2 Alcance del sistema</w:t>
      </w:r>
      <w:bookmarkEnd w:id="2"/>
    </w:p>
    <w:p w14:paraId="6EC41BEC"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TrackIn es una aplicación web que centraliza la telemetría logística de las compras internacionales de Laboratorios Gutis, cruzando datos geoespaciales satelitales en tiempo real con la información maestra de pedidos de compra. El sistema calcula la fecha proyectada de disponibilidad de cada pedido combinando la ETA obtenida de las APIs de rastreo con el lead time maestro del destino, y genera indicadores de riesgo cuando existe posibilidad de incumplimiento respecto a la fecha de entrega comprometida.</w:t>
      </w:r>
    </w:p>
    <w:p w14:paraId="7EEA9121" w14:textId="7075B596"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producto de esta práctica es un sistema funcional en entorno de desarrollo, acompañado de la documentación técnica necesaria para su posterior despliegue productivo por parte del Centro de Competencias.</w:t>
      </w:r>
    </w:p>
    <w:p w14:paraId="07CE8B7D" w14:textId="77777777" w:rsidR="00CE2DA2" w:rsidRPr="00317AA7" w:rsidRDefault="00D91203">
      <w:pPr>
        <w:pStyle w:val="Ttulo3"/>
        <w:rPr>
          <w:rFonts w:ascii="Times New Roman" w:hAnsi="Times New Roman" w:cs="Times New Roman"/>
          <w:color w:val="auto"/>
        </w:rPr>
      </w:pPr>
      <w:bookmarkStart w:id="3" w:name="_Toc237262826"/>
      <w:r>
        <w:rPr>
          <w:rFonts w:ascii="Times New Roman" w:hAnsi="Times New Roman" w:cs="Times New Roman"/>
          <w:color w:val="auto"/>
        </w:rPr>
        <w:t>1.2.1 Dentro del alcance</w:t>
      </w:r>
      <w:bookmarkEnd w:id="3"/>
    </w:p>
    <w:p w14:paraId="19C9EE7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Análisis de requerimientos funcionales y no funcionales, con base en el documento técnico-funcional proporcionado por la empresa.</w:t>
      </w:r>
    </w:p>
    <w:p w14:paraId="72CEEE1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del modelo de datos relacional con soporte geoespacial mediante PostGIS.</w:t>
      </w:r>
    </w:p>
    <w:p w14:paraId="07913A3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 la arquitectura del sistema: backend, frontend, base de datos e integraciones.</w:t>
      </w:r>
    </w:p>
    <w:p w14:paraId="6973BAB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 wireframes y prototipos de interfaz del dashboard.</w:t>
      </w:r>
    </w:p>
    <w:p w14:paraId="17CF74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backend en FastAPI, con consumo de APIs de rastreo marítimo (AIS) y aéreo (ADS-B).</w:t>
      </w:r>
    </w:p>
    <w:p w14:paraId="0CC2654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Implementación del servicio de cálculo automático de estados logísticos.</w:t>
      </w:r>
    </w:p>
    <w:p w14:paraId="18B504D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frontend en React, con dashboard, grilla, mapas Leaflet y KPIs.</w:t>
      </w:r>
    </w:p>
    <w:p w14:paraId="7387FCC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Implementación de la base de datos PostgreSQL con historial de tracking.</w:t>
      </w:r>
    </w:p>
    <w:p w14:paraId="42F9597A"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Integración con el servicio API de SAP S/4HANA para la obtención de los pedidos de compra en tránsito y su sincronización periódica.</w:t>
      </w:r>
    </w:p>
    <w:p w14:paraId="72EA687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Ejecución del sistema en entorno de desarrollo local.</w:t>
      </w:r>
    </w:p>
    <w:p w14:paraId="25B6CAE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Pruebas funcionales, de integración y demostración con usuarios clave.</w:t>
      </w:r>
    </w:p>
    <w:p w14:paraId="70934EA4"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Documentación técnica: manual de instalación local, manual de usuario y guía de despliegue para producción.</w:t>
      </w:r>
    </w:p>
    <w:p w14:paraId="5E3CEF66" w14:textId="77777777" w:rsidR="00CE2DA2" w:rsidRPr="00317AA7" w:rsidRDefault="00D91203">
      <w:pPr>
        <w:pStyle w:val="Ttulo3"/>
        <w:rPr>
          <w:rFonts w:ascii="Times New Roman" w:hAnsi="Times New Roman" w:cs="Times New Roman"/>
          <w:color w:val="auto"/>
        </w:rPr>
      </w:pPr>
      <w:bookmarkStart w:id="4" w:name="_Toc237262827"/>
      <w:r>
        <w:rPr>
          <w:rFonts w:ascii="Times New Roman" w:hAnsi="Times New Roman" w:cs="Times New Roman"/>
          <w:color w:val="auto"/>
        </w:rPr>
        <w:t>1.2.2 Fuera del alcance</w:t>
      </w:r>
      <w:bookmarkEnd w:id="4"/>
    </w:p>
    <w:p w14:paraId="62B905C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Las siguientes capacidades quedan explícitamente excluidas y se contemplan como implementación futura del Centro de Competencias:</w:t>
      </w:r>
    </w:p>
    <w:p w14:paraId="6F1F887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Despliegue a producción en la infraestructura corporativa de Laboratorios Gutis.</w:t>
      </w:r>
    </w:p>
    <w:p w14:paraId="27C25F7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Configuración de servidor web productivo, balanceo de carga y terminación SSL.</w:t>
      </w:r>
    </w:p>
    <w:p w14:paraId="66D65C2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Integración con el sistema de autenticación corporativo (Active Directory / SSO).</w:t>
      </w:r>
    </w:p>
    <w:p w14:paraId="48996BC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Configuración de sistema de colas distribuido en modo productivo.</w:t>
      </w:r>
    </w:p>
    <w:p w14:paraId="40C7981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Monitoreo, logging centralizado y alertas de producción.</w:t>
      </w:r>
    </w:p>
    <w:p w14:paraId="44218C8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servicio API del lado de SAP S/4HANA, que corresponde al Centro de Competencias de Laboratorios Gutis. TrackIn consume ese servicio; no lo construye.</w:t>
      </w:r>
    </w:p>
    <w:p w14:paraId="561A0F4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Trazabilidad automática por contenedor, BL o booking sin dato de nave asociado.</w:t>
      </w:r>
    </w:p>
    <w:p w14:paraId="40C8317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Gestión documental de facturas, BL, AWB, DUAs u otros documentos.</w:t>
      </w:r>
    </w:p>
    <w:p w14:paraId="5B1F726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Predicción avanzada de retrasos por congestión portuaria o condiciones climáticas.</w:t>
      </w:r>
    </w:p>
    <w:p w14:paraId="6075E6F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Aplicación móvil nativa.</w:t>
      </w:r>
    </w:p>
    <w:p w14:paraId="262B498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Contratación de licencias de APIs comerciales de rastreo.</w:t>
      </w:r>
    </w:p>
    <w:p w14:paraId="65AFD2A5" w14:textId="77777777" w:rsidR="00CE2DA2" w:rsidRPr="00317AA7" w:rsidRDefault="00D91203">
      <w:pPr>
        <w:pStyle w:val="Ttulo2"/>
        <w:rPr>
          <w:rFonts w:ascii="Times New Roman" w:hAnsi="Times New Roman" w:cs="Times New Roman"/>
          <w:color w:val="auto"/>
        </w:rPr>
      </w:pPr>
      <w:bookmarkStart w:id="5" w:name="_Toc237262828"/>
      <w:r>
        <w:rPr>
          <w:rFonts w:ascii="Times New Roman" w:hAnsi="Times New Roman" w:cs="Times New Roman"/>
          <w:color w:val="auto"/>
        </w:rPr>
        <w:t>1.3 Definiciones, acrónimos y abreviaciones</w:t>
      </w:r>
      <w:bookmarkEnd w:id="5"/>
    </w:p>
    <w:p w14:paraId="2530FCA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siguiente tabla recoge la terminología empleada a lo largo del documento. El Anexo A amplía este glosario con términos del dominio logístico y farmacéutico.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E2DA2" w:rsidRPr="00317AA7" w14:paraId="380EE40C" w14:textId="77777777">
        <w:trPr>
          <w:tblHeader/>
        </w:trPr>
        <w:tc>
          <w:tcPr>
            <w:tcW w:w="2000" w:type="dxa"/>
            <w:shd w:val="clear" w:color="auto" w:fill="D9E2F3"/>
            <w:tcMar>
              <w:top w:w="60" w:type="dxa"/>
              <w:left w:w="100" w:type="dxa"/>
              <w:bottom w:w="60" w:type="dxa"/>
              <w:right w:w="100" w:type="dxa"/>
            </w:tcMar>
          </w:tcPr>
          <w:p w14:paraId="63595E0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Término</w:t>
            </w:r>
          </w:p>
        </w:tc>
        <w:tc>
          <w:tcPr>
            <w:tcW w:w="7360" w:type="dxa"/>
            <w:shd w:val="clear" w:color="auto" w:fill="D9E2F3"/>
            <w:tcMar>
              <w:top w:w="60" w:type="dxa"/>
              <w:left w:w="100" w:type="dxa"/>
              <w:bottom w:w="60" w:type="dxa"/>
              <w:right w:w="100" w:type="dxa"/>
            </w:tcMar>
          </w:tcPr>
          <w:p w14:paraId="7679C1D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Definición</w:t>
            </w:r>
          </w:p>
        </w:tc>
      </w:tr>
      <w:tr w:rsidR="00CE2DA2" w:rsidRPr="00317AA7" w14:paraId="3018706A" w14:textId="77777777">
        <w:tc>
          <w:tcPr>
            <w:tcW w:w="2000" w:type="dxa"/>
            <w:tcMar>
              <w:top w:w="60" w:type="dxa"/>
              <w:left w:w="100" w:type="dxa"/>
              <w:bottom w:w="60" w:type="dxa"/>
              <w:right w:w="100" w:type="dxa"/>
            </w:tcMar>
          </w:tcPr>
          <w:p w14:paraId="2E4F73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ADS-B</w:t>
            </w:r>
          </w:p>
        </w:tc>
        <w:tc>
          <w:tcPr>
            <w:tcW w:w="7360" w:type="dxa"/>
            <w:tcMar>
              <w:top w:w="60" w:type="dxa"/>
              <w:left w:w="100" w:type="dxa"/>
              <w:bottom w:w="60" w:type="dxa"/>
              <w:right w:w="100" w:type="dxa"/>
            </w:tcMar>
          </w:tcPr>
          <w:p w14:paraId="38FBD4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Automatic Dependent Surveillance–Broadcast. Tecnología por la cual una aeronave difunde periódicamente su posición derivada de navegación satelital. Es la fuente de los datos de rastreo aéreo del sistema.</w:t>
            </w:r>
          </w:p>
        </w:tc>
      </w:tr>
      <w:tr w:rsidR="00CE2DA2" w:rsidRPr="00317AA7" w14:paraId="75FE7333" w14:textId="77777777">
        <w:tc>
          <w:tcPr>
            <w:tcW w:w="2000" w:type="dxa"/>
            <w:tcMar>
              <w:top w:w="60" w:type="dxa"/>
              <w:left w:w="100" w:type="dxa"/>
              <w:bottom w:w="60" w:type="dxa"/>
              <w:right w:w="100" w:type="dxa"/>
            </w:tcMar>
          </w:tcPr>
          <w:p w14:paraId="349D63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w:t>
            </w:r>
          </w:p>
        </w:tc>
        <w:tc>
          <w:tcPr>
            <w:tcW w:w="7360" w:type="dxa"/>
            <w:tcMar>
              <w:top w:w="60" w:type="dxa"/>
              <w:left w:w="100" w:type="dxa"/>
              <w:bottom w:w="60" w:type="dxa"/>
              <w:right w:w="100" w:type="dxa"/>
            </w:tcMar>
          </w:tcPr>
          <w:p w14:paraId="14F0D3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Automatic Identification System. Sistema de identificación automática que las embarcaciones transmiten por radio con su identidad, posición, rumbo y velocidad. Es la fuente de los datos de rastreo marítimo.</w:t>
            </w:r>
          </w:p>
        </w:tc>
      </w:tr>
      <w:tr w:rsidR="00CE2DA2" w:rsidRPr="00317AA7" w14:paraId="230959C8" w14:textId="77777777">
        <w:tc>
          <w:tcPr>
            <w:tcW w:w="2000" w:type="dxa"/>
            <w:tcMar>
              <w:top w:w="60" w:type="dxa"/>
              <w:left w:w="100" w:type="dxa"/>
              <w:bottom w:w="60" w:type="dxa"/>
              <w:right w:w="100" w:type="dxa"/>
            </w:tcMar>
          </w:tcPr>
          <w:p w14:paraId="3D96586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(informática)</w:t>
            </w:r>
          </w:p>
        </w:tc>
        <w:tc>
          <w:tcPr>
            <w:tcW w:w="7360" w:type="dxa"/>
            <w:tcMar>
              <w:top w:w="60" w:type="dxa"/>
              <w:left w:w="100" w:type="dxa"/>
              <w:bottom w:w="60" w:type="dxa"/>
              <w:right w:w="100" w:type="dxa"/>
            </w:tcMar>
          </w:tcPr>
          <w:p w14:paraId="4BCA180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Application Programming Interface. Interfaz que permite la comunicación entre sistemas de software.</w:t>
            </w:r>
          </w:p>
        </w:tc>
      </w:tr>
      <w:tr w:rsidR="00CE2DA2" w:rsidRPr="00317AA7" w14:paraId="1C666EA3" w14:textId="77777777">
        <w:tc>
          <w:tcPr>
            <w:tcW w:w="2000" w:type="dxa"/>
            <w:tcMar>
              <w:top w:w="60" w:type="dxa"/>
              <w:left w:w="100" w:type="dxa"/>
              <w:bottom w:w="60" w:type="dxa"/>
              <w:right w:w="100" w:type="dxa"/>
            </w:tcMar>
          </w:tcPr>
          <w:p w14:paraId="38C603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(farmacéutico)</w:t>
            </w:r>
          </w:p>
        </w:tc>
        <w:tc>
          <w:tcPr>
            <w:tcW w:w="7360" w:type="dxa"/>
            <w:tcMar>
              <w:top w:w="60" w:type="dxa"/>
              <w:left w:w="100" w:type="dxa"/>
              <w:bottom w:w="60" w:type="dxa"/>
              <w:right w:w="100" w:type="dxa"/>
            </w:tcMar>
          </w:tcPr>
          <w:p w14:paraId="1F8DC2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Active Pharmaceutical Ingredient, o principio activo farmacéutico. Materia prima crítica cuya importación monitorea el sistema. En este documento el sentido se indica siempre que exista riesgo de ambigüedad.</w:t>
            </w:r>
          </w:p>
        </w:tc>
      </w:tr>
      <w:tr w:rsidR="00CE2DA2" w:rsidRPr="00317AA7" w14:paraId="6AFD621C" w14:textId="77777777">
        <w:tc>
          <w:tcPr>
            <w:tcW w:w="2000" w:type="dxa"/>
            <w:tcMar>
              <w:top w:w="60" w:type="dxa"/>
              <w:left w:w="100" w:type="dxa"/>
              <w:bottom w:w="60" w:type="dxa"/>
              <w:right w:w="100" w:type="dxa"/>
            </w:tcMar>
          </w:tcPr>
          <w:p w14:paraId="20AF18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ATA</w:t>
            </w:r>
          </w:p>
        </w:tc>
        <w:tc>
          <w:tcPr>
            <w:tcW w:w="7360" w:type="dxa"/>
            <w:tcMar>
              <w:top w:w="60" w:type="dxa"/>
              <w:left w:w="100" w:type="dxa"/>
              <w:bottom w:w="60" w:type="dxa"/>
              <w:right w:w="100" w:type="dxa"/>
            </w:tcMar>
          </w:tcPr>
          <w:p w14:paraId="784E32B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Actual Time of Arrival. Fecha y hora real de llegada reportada por la fuente externa.</w:t>
            </w:r>
          </w:p>
        </w:tc>
      </w:tr>
      <w:tr w:rsidR="00CE2DA2" w:rsidRPr="00317AA7" w14:paraId="7FF82F2D" w14:textId="77777777">
        <w:tc>
          <w:tcPr>
            <w:tcW w:w="2000" w:type="dxa"/>
            <w:tcMar>
              <w:top w:w="60" w:type="dxa"/>
              <w:left w:w="100" w:type="dxa"/>
              <w:bottom w:w="60" w:type="dxa"/>
              <w:right w:w="100" w:type="dxa"/>
            </w:tcMar>
          </w:tcPr>
          <w:p w14:paraId="15A9CA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AWB</w:t>
            </w:r>
          </w:p>
        </w:tc>
        <w:tc>
          <w:tcPr>
            <w:tcW w:w="7360" w:type="dxa"/>
            <w:tcMar>
              <w:top w:w="60" w:type="dxa"/>
              <w:left w:w="100" w:type="dxa"/>
              <w:bottom w:w="60" w:type="dxa"/>
              <w:right w:w="100" w:type="dxa"/>
            </w:tcMar>
          </w:tcPr>
          <w:p w14:paraId="2DC1D4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lang w:val="en-US"/>
              </w:rPr>
              <w:t xml:space="preserve">Air Waybill, o guía aérea. </w:t>
            </w:r>
            <w:r>
              <w:rPr>
                <w:rFonts w:ascii="Times New Roman" w:hAnsi="Times New Roman" w:cs="Times New Roman"/>
                <w:color w:val="auto"/>
                <w:sz w:val="20"/>
                <w:szCs w:val="20"/>
              </w:rPr>
              <w:t>Documento de transporte emitido para un embarque aéreo.</w:t>
            </w:r>
          </w:p>
        </w:tc>
      </w:tr>
      <w:tr w:rsidR="00CE2DA2" w:rsidRPr="00317AA7" w14:paraId="02590FD1" w14:textId="77777777">
        <w:tc>
          <w:tcPr>
            <w:tcW w:w="2000" w:type="dxa"/>
            <w:tcMar>
              <w:top w:w="60" w:type="dxa"/>
              <w:left w:w="100" w:type="dxa"/>
              <w:bottom w:w="60" w:type="dxa"/>
              <w:right w:w="100" w:type="dxa"/>
            </w:tcMar>
          </w:tcPr>
          <w:p w14:paraId="6F36DDB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BL</w:t>
            </w:r>
          </w:p>
        </w:tc>
        <w:tc>
          <w:tcPr>
            <w:tcW w:w="7360" w:type="dxa"/>
            <w:tcMar>
              <w:top w:w="60" w:type="dxa"/>
              <w:left w:w="100" w:type="dxa"/>
              <w:bottom w:w="60" w:type="dxa"/>
              <w:right w:w="100" w:type="dxa"/>
            </w:tcMar>
          </w:tcPr>
          <w:p w14:paraId="26E38B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Bill of Lading, o conocimiento de embarque. Documento de transporte marítimo que acredita el contrato de flete y la recepción de la mercancía.</w:t>
            </w:r>
          </w:p>
        </w:tc>
      </w:tr>
      <w:tr w:rsidR="00CE2DA2" w:rsidRPr="00317AA7" w14:paraId="2A7915F6" w14:textId="77777777">
        <w:tc>
          <w:tcPr>
            <w:tcW w:w="2000" w:type="dxa"/>
            <w:tcMar>
              <w:top w:w="60" w:type="dxa"/>
              <w:left w:w="100" w:type="dxa"/>
              <w:bottom w:w="60" w:type="dxa"/>
              <w:right w:w="100" w:type="dxa"/>
            </w:tcMar>
          </w:tcPr>
          <w:p w14:paraId="2DC085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DUA</w:t>
            </w:r>
          </w:p>
        </w:tc>
        <w:tc>
          <w:tcPr>
            <w:tcW w:w="7360" w:type="dxa"/>
            <w:tcMar>
              <w:top w:w="60" w:type="dxa"/>
              <w:left w:w="100" w:type="dxa"/>
              <w:bottom w:w="60" w:type="dxa"/>
              <w:right w:w="100" w:type="dxa"/>
            </w:tcMar>
          </w:tcPr>
          <w:p w14:paraId="4DE021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Declaración Única Aduanera. Documento de declaración ante la autoridad aduanera costarricense.</w:t>
            </w:r>
          </w:p>
        </w:tc>
      </w:tr>
      <w:tr w:rsidR="00CE2DA2" w:rsidRPr="00317AA7" w14:paraId="32CA8CAE" w14:textId="77777777">
        <w:tc>
          <w:tcPr>
            <w:tcW w:w="2000" w:type="dxa"/>
            <w:tcMar>
              <w:top w:w="60" w:type="dxa"/>
              <w:left w:w="100" w:type="dxa"/>
              <w:bottom w:w="60" w:type="dxa"/>
              <w:right w:w="100" w:type="dxa"/>
            </w:tcMar>
          </w:tcPr>
          <w:p w14:paraId="024C3A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ERP</w:t>
            </w:r>
          </w:p>
        </w:tc>
        <w:tc>
          <w:tcPr>
            <w:tcW w:w="7360" w:type="dxa"/>
            <w:tcMar>
              <w:top w:w="60" w:type="dxa"/>
              <w:left w:w="100" w:type="dxa"/>
              <w:bottom w:w="60" w:type="dxa"/>
              <w:right w:w="100" w:type="dxa"/>
            </w:tcMar>
          </w:tcPr>
          <w:p w14:paraId="41714E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Enterprise Resource Planning. Sistema corporativo de planificación de recursos; en Gutis, SAP S/4HANA.</w:t>
            </w:r>
          </w:p>
        </w:tc>
      </w:tr>
      <w:tr w:rsidR="00CE2DA2" w:rsidRPr="00317AA7" w14:paraId="007E4A77" w14:textId="77777777">
        <w:tc>
          <w:tcPr>
            <w:tcW w:w="2000" w:type="dxa"/>
            <w:tcMar>
              <w:top w:w="60" w:type="dxa"/>
              <w:left w:w="100" w:type="dxa"/>
              <w:bottom w:w="60" w:type="dxa"/>
              <w:right w:w="100" w:type="dxa"/>
            </w:tcMar>
          </w:tcPr>
          <w:p w14:paraId="1F83B38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ETA</w:t>
            </w:r>
          </w:p>
        </w:tc>
        <w:tc>
          <w:tcPr>
            <w:tcW w:w="7360" w:type="dxa"/>
            <w:tcMar>
              <w:top w:w="60" w:type="dxa"/>
              <w:left w:w="100" w:type="dxa"/>
              <w:bottom w:w="60" w:type="dxa"/>
              <w:right w:w="100" w:type="dxa"/>
            </w:tcMar>
          </w:tcPr>
          <w:p w14:paraId="1A8BCE8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Estimated Time of Arrival. Fecha y hora estimada de llegada al destino, obtenida de la API de rastreo.</w:t>
            </w:r>
          </w:p>
        </w:tc>
      </w:tr>
      <w:tr w:rsidR="00CE2DA2" w:rsidRPr="00317AA7" w14:paraId="1B33AB65" w14:textId="77777777">
        <w:tc>
          <w:tcPr>
            <w:tcW w:w="2000" w:type="dxa"/>
            <w:tcMar>
              <w:top w:w="60" w:type="dxa"/>
              <w:left w:w="100" w:type="dxa"/>
              <w:bottom w:w="60" w:type="dxa"/>
              <w:right w:w="100" w:type="dxa"/>
            </w:tcMar>
          </w:tcPr>
          <w:p w14:paraId="07FB66A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IMO</w:t>
            </w:r>
          </w:p>
        </w:tc>
        <w:tc>
          <w:tcPr>
            <w:tcW w:w="7360" w:type="dxa"/>
            <w:tcMar>
              <w:top w:w="60" w:type="dxa"/>
              <w:left w:w="100" w:type="dxa"/>
              <w:bottom w:w="60" w:type="dxa"/>
              <w:right w:w="100" w:type="dxa"/>
            </w:tcMar>
          </w:tcPr>
          <w:p w14:paraId="529E3A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International Maritime Organization number. Identificador único y permanente asignado al casco de un buque.</w:t>
            </w:r>
          </w:p>
        </w:tc>
      </w:tr>
      <w:tr w:rsidR="00CE2DA2" w:rsidRPr="00317AA7" w14:paraId="0B53D9B2" w14:textId="77777777">
        <w:tc>
          <w:tcPr>
            <w:tcW w:w="2000" w:type="dxa"/>
            <w:tcMar>
              <w:top w:w="60" w:type="dxa"/>
              <w:left w:w="100" w:type="dxa"/>
              <w:bottom w:w="60" w:type="dxa"/>
              <w:right w:w="100" w:type="dxa"/>
            </w:tcMar>
          </w:tcPr>
          <w:p w14:paraId="28430A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KPI</w:t>
            </w:r>
          </w:p>
        </w:tc>
        <w:tc>
          <w:tcPr>
            <w:tcW w:w="7360" w:type="dxa"/>
            <w:tcMar>
              <w:top w:w="60" w:type="dxa"/>
              <w:left w:w="100" w:type="dxa"/>
              <w:bottom w:w="60" w:type="dxa"/>
              <w:right w:w="100" w:type="dxa"/>
            </w:tcMar>
          </w:tcPr>
          <w:p w14:paraId="2EF1BF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Key Performance Indicator. Indicador clave de desempeño mostrado en la cinta superior del dashboard.</w:t>
            </w:r>
          </w:p>
        </w:tc>
      </w:tr>
      <w:tr w:rsidR="00CE2DA2" w:rsidRPr="00317AA7" w14:paraId="66AA7855" w14:textId="77777777">
        <w:tc>
          <w:tcPr>
            <w:tcW w:w="2000" w:type="dxa"/>
            <w:tcMar>
              <w:top w:w="60" w:type="dxa"/>
              <w:left w:w="100" w:type="dxa"/>
              <w:bottom w:w="60" w:type="dxa"/>
              <w:right w:w="100" w:type="dxa"/>
            </w:tcMar>
          </w:tcPr>
          <w:p w14:paraId="2AD346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 time</w:t>
            </w:r>
          </w:p>
        </w:tc>
        <w:tc>
          <w:tcPr>
            <w:tcW w:w="7360" w:type="dxa"/>
            <w:tcMar>
              <w:top w:w="60" w:type="dxa"/>
              <w:left w:w="100" w:type="dxa"/>
              <w:bottom w:w="60" w:type="dxa"/>
              <w:right w:w="100" w:type="dxa"/>
            </w:tcMar>
          </w:tcPr>
          <w:p w14:paraId="0650D9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Tiempo, en días, que transcurre entre el arribo de la carga al destino y su ingreso a la planta o almacén, comprendiendo desembarque, nacionalización y traslado. El Anexo A precisa su alcance y lo distingue de la liberación por Aseguramiento de la Calidad.</w:t>
            </w:r>
          </w:p>
        </w:tc>
      </w:tr>
      <w:tr w:rsidR="00CE2DA2" w:rsidRPr="00317AA7" w14:paraId="1EA84541" w14:textId="77777777">
        <w:tc>
          <w:tcPr>
            <w:tcW w:w="2000" w:type="dxa"/>
            <w:tcMar>
              <w:top w:w="60" w:type="dxa"/>
              <w:left w:w="100" w:type="dxa"/>
              <w:bottom w:w="60" w:type="dxa"/>
              <w:right w:w="100" w:type="dxa"/>
            </w:tcMar>
          </w:tcPr>
          <w:p w14:paraId="34D755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MMSI</w:t>
            </w:r>
          </w:p>
        </w:tc>
        <w:tc>
          <w:tcPr>
            <w:tcW w:w="7360" w:type="dxa"/>
            <w:tcMar>
              <w:top w:w="60" w:type="dxa"/>
              <w:left w:w="100" w:type="dxa"/>
              <w:bottom w:w="60" w:type="dxa"/>
              <w:right w:w="100" w:type="dxa"/>
            </w:tcMar>
          </w:tcPr>
          <w:p w14:paraId="43EAB82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Maritime Mobile Service Identity. Identificador de nueve dígitos de la estación de radio de una embarcación.</w:t>
            </w:r>
          </w:p>
        </w:tc>
      </w:tr>
      <w:tr w:rsidR="00CE2DA2" w:rsidRPr="00317AA7" w14:paraId="5CDD685A" w14:textId="77777777">
        <w:tc>
          <w:tcPr>
            <w:tcW w:w="2000" w:type="dxa"/>
            <w:tcMar>
              <w:top w:w="60" w:type="dxa"/>
              <w:left w:w="100" w:type="dxa"/>
              <w:bottom w:w="60" w:type="dxa"/>
              <w:right w:w="100" w:type="dxa"/>
            </w:tcMar>
          </w:tcPr>
          <w:p w14:paraId="38759D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MVP</w:t>
            </w:r>
          </w:p>
        </w:tc>
        <w:tc>
          <w:tcPr>
            <w:tcW w:w="7360" w:type="dxa"/>
            <w:tcMar>
              <w:top w:w="60" w:type="dxa"/>
              <w:left w:w="100" w:type="dxa"/>
              <w:bottom w:w="60" w:type="dxa"/>
              <w:right w:w="100" w:type="dxa"/>
            </w:tcMar>
          </w:tcPr>
          <w:p w14:paraId="131D0F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Minimum Viable Product. Producto mínimo viable.</w:t>
            </w:r>
          </w:p>
        </w:tc>
      </w:tr>
      <w:tr w:rsidR="00CE2DA2" w:rsidRPr="00317AA7" w14:paraId="10EAE46F" w14:textId="77777777">
        <w:tc>
          <w:tcPr>
            <w:tcW w:w="2000" w:type="dxa"/>
            <w:tcMar>
              <w:top w:w="60" w:type="dxa"/>
              <w:left w:w="100" w:type="dxa"/>
              <w:bottom w:w="60" w:type="dxa"/>
              <w:right w:w="100" w:type="dxa"/>
            </w:tcMar>
          </w:tcPr>
          <w:p w14:paraId="34F927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w:t>
            </w:r>
          </w:p>
        </w:tc>
        <w:tc>
          <w:tcPr>
            <w:tcW w:w="7360" w:type="dxa"/>
            <w:tcMar>
              <w:top w:w="60" w:type="dxa"/>
              <w:left w:w="100" w:type="dxa"/>
              <w:bottom w:w="60" w:type="dxa"/>
              <w:right w:w="100" w:type="dxa"/>
            </w:tcMar>
          </w:tcPr>
          <w:p w14:paraId="556B50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Orden de Compra. Documento que formaliza un pedido a un proveedor.</w:t>
            </w:r>
          </w:p>
        </w:tc>
      </w:tr>
      <w:tr w:rsidR="00CE2DA2" w:rsidRPr="00317AA7" w14:paraId="0C10EFB5" w14:textId="77777777">
        <w:tc>
          <w:tcPr>
            <w:tcW w:w="2000" w:type="dxa"/>
            <w:tcMar>
              <w:top w:w="60" w:type="dxa"/>
              <w:left w:w="100" w:type="dxa"/>
              <w:bottom w:w="60" w:type="dxa"/>
              <w:right w:w="100" w:type="dxa"/>
            </w:tcMar>
          </w:tcPr>
          <w:p w14:paraId="1E4A24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PostGIS</w:t>
            </w:r>
          </w:p>
        </w:tc>
        <w:tc>
          <w:tcPr>
            <w:tcW w:w="7360" w:type="dxa"/>
            <w:tcMar>
              <w:top w:w="60" w:type="dxa"/>
              <w:left w:w="100" w:type="dxa"/>
              <w:bottom w:w="60" w:type="dxa"/>
              <w:right w:w="100" w:type="dxa"/>
            </w:tcMar>
          </w:tcPr>
          <w:p w14:paraId="1D63787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Extensión geoespacial de PostgreSQL que habilita tipos geométricos y consultas espaciales.</w:t>
            </w:r>
          </w:p>
        </w:tc>
      </w:tr>
      <w:tr w:rsidR="00CE2DA2" w:rsidRPr="00317AA7" w14:paraId="784A6286" w14:textId="77777777">
        <w:tc>
          <w:tcPr>
            <w:tcW w:w="2000" w:type="dxa"/>
            <w:tcMar>
              <w:top w:w="60" w:type="dxa"/>
              <w:left w:w="100" w:type="dxa"/>
              <w:bottom w:w="60" w:type="dxa"/>
              <w:right w:w="100" w:type="dxa"/>
            </w:tcMar>
          </w:tcPr>
          <w:p w14:paraId="00C8A6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REST</w:t>
            </w:r>
          </w:p>
        </w:tc>
        <w:tc>
          <w:tcPr>
            <w:tcW w:w="7360" w:type="dxa"/>
            <w:tcMar>
              <w:top w:w="60" w:type="dxa"/>
              <w:left w:w="100" w:type="dxa"/>
              <w:bottom w:w="60" w:type="dxa"/>
              <w:right w:w="100" w:type="dxa"/>
            </w:tcMar>
          </w:tcPr>
          <w:p w14:paraId="2C95577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Representational State Transfer. Estilo arquitectónico de los servicios web del backend.</w:t>
            </w:r>
          </w:p>
        </w:tc>
      </w:tr>
      <w:tr w:rsidR="00CE2DA2" w:rsidRPr="00317AA7" w14:paraId="2E5532EE" w14:textId="77777777">
        <w:tc>
          <w:tcPr>
            <w:tcW w:w="2000" w:type="dxa"/>
            <w:tcMar>
              <w:top w:w="60" w:type="dxa"/>
              <w:left w:w="100" w:type="dxa"/>
              <w:bottom w:w="60" w:type="dxa"/>
              <w:right w:w="100" w:type="dxa"/>
            </w:tcMar>
          </w:tcPr>
          <w:p w14:paraId="58B2AD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SLA</w:t>
            </w:r>
          </w:p>
        </w:tc>
        <w:tc>
          <w:tcPr>
            <w:tcW w:w="7360" w:type="dxa"/>
            <w:tcMar>
              <w:top w:w="60" w:type="dxa"/>
              <w:left w:w="100" w:type="dxa"/>
              <w:bottom w:w="60" w:type="dxa"/>
              <w:right w:w="100" w:type="dxa"/>
            </w:tcMar>
          </w:tcPr>
          <w:p w14:paraId="59BC78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Service Level Agreement. Acuerdo de nivel de servicio.</w:t>
            </w:r>
          </w:p>
        </w:tc>
      </w:tr>
      <w:tr w:rsidR="00CE2DA2" w:rsidRPr="00573A30" w14:paraId="522BC754" w14:textId="77777777">
        <w:tc>
          <w:tcPr>
            <w:tcW w:w="2000" w:type="dxa"/>
            <w:tcMar>
              <w:top w:w="60" w:type="dxa"/>
              <w:left w:w="100" w:type="dxa"/>
              <w:bottom w:w="60" w:type="dxa"/>
              <w:right w:w="100" w:type="dxa"/>
            </w:tcMar>
          </w:tcPr>
          <w:p w14:paraId="158FA98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SRS</w:t>
            </w:r>
          </w:p>
        </w:tc>
        <w:tc>
          <w:tcPr>
            <w:tcW w:w="7360" w:type="dxa"/>
            <w:tcMar>
              <w:top w:w="60" w:type="dxa"/>
              <w:left w:w="100" w:type="dxa"/>
              <w:bottom w:w="60" w:type="dxa"/>
              <w:right w:w="100" w:type="dxa"/>
            </w:tcMar>
          </w:tcPr>
          <w:p w14:paraId="436699EC" w14:textId="77777777" w:rsidR="00CE2DA2" w:rsidRPr="00317AA7" w:rsidRDefault="00D91203">
            <w:pPr>
              <w:rPr>
                <w:rFonts w:ascii="Times New Roman" w:hAnsi="Times New Roman" w:cs="Times New Roman"/>
                <w:color w:val="auto"/>
                <w:lang w:val="en-US"/>
              </w:rPr>
            </w:pPr>
            <w:r>
              <w:rPr>
                <w:rFonts w:ascii="Times New Roman" w:hAnsi="Times New Roman" w:cs="Times New Roman"/>
                <w:color w:val="auto"/>
                <w:sz w:val="20"/>
                <w:szCs w:val="20"/>
                <w:lang w:val="en-US"/>
              </w:rPr>
              <w:t>Software Requirements Specification. Este documento.</w:t>
            </w:r>
          </w:p>
        </w:tc>
      </w:tr>
      <w:tr w:rsidR="00CE2DA2" w:rsidRPr="00317AA7" w14:paraId="4326245A" w14:textId="77777777">
        <w:tc>
          <w:tcPr>
            <w:tcW w:w="2000" w:type="dxa"/>
            <w:tcMar>
              <w:top w:w="60" w:type="dxa"/>
              <w:left w:w="100" w:type="dxa"/>
              <w:bottom w:w="60" w:type="dxa"/>
              <w:right w:w="100" w:type="dxa"/>
            </w:tcMar>
          </w:tcPr>
          <w:p w14:paraId="748ABE2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SSO</w:t>
            </w:r>
          </w:p>
        </w:tc>
        <w:tc>
          <w:tcPr>
            <w:tcW w:w="7360" w:type="dxa"/>
            <w:tcMar>
              <w:top w:w="60" w:type="dxa"/>
              <w:left w:w="100" w:type="dxa"/>
              <w:bottom w:w="60" w:type="dxa"/>
              <w:right w:w="100" w:type="dxa"/>
            </w:tcMar>
          </w:tcPr>
          <w:p w14:paraId="09ACBEF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Single Sign-On. Autenticación única corporativa.</w:t>
            </w:r>
          </w:p>
        </w:tc>
      </w:tr>
      <w:tr w:rsidR="00CE2DA2" w:rsidRPr="00317AA7" w14:paraId="105037FF" w14:textId="77777777">
        <w:tc>
          <w:tcPr>
            <w:tcW w:w="2000" w:type="dxa"/>
            <w:tcMar>
              <w:top w:w="60" w:type="dxa"/>
              <w:left w:w="100" w:type="dxa"/>
              <w:bottom w:w="60" w:type="dxa"/>
              <w:right w:w="100" w:type="dxa"/>
            </w:tcMar>
          </w:tcPr>
          <w:p w14:paraId="294D73C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w:t>
            </w:r>
          </w:p>
        </w:tc>
        <w:tc>
          <w:tcPr>
            <w:tcW w:w="7360" w:type="dxa"/>
            <w:tcMar>
              <w:top w:w="60" w:type="dxa"/>
              <w:left w:w="100" w:type="dxa"/>
              <w:bottom w:w="60" w:type="dxa"/>
              <w:right w:w="100" w:type="dxa"/>
            </w:tcMar>
          </w:tcPr>
          <w:p w14:paraId="1B5E6B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Nombre del sistema especificado en este documento.</w:t>
            </w:r>
          </w:p>
        </w:tc>
      </w:tr>
    </w:tbl>
    <w:p w14:paraId="7080E137" w14:textId="64B29B04" w:rsidR="00CE2DA2" w:rsidRPr="00317AA7" w:rsidRDefault="00CE2DA2">
      <w:pPr>
        <w:pStyle w:val="Ttulo2"/>
        <w:rPr>
          <w:rFonts w:ascii="Times New Roman" w:hAnsi="Times New Roman" w:cs="Times New Roman"/>
          <w:color w:val="auto"/>
        </w:rPr>
      </w:pPr>
    </w:p>
    <w:p w14:paraId="4B086BA3" w14:textId="01F94EED" w:rsidR="00CE2DA2" w:rsidRPr="00317AA7" w:rsidRDefault="00D91203">
      <w:pPr>
        <w:pStyle w:val="Ttulo2"/>
        <w:rPr>
          <w:rFonts w:ascii="Times New Roman" w:hAnsi="Times New Roman" w:cs="Times New Roman"/>
          <w:color w:val="auto"/>
        </w:rPr>
      </w:pPr>
      <w:bookmarkStart w:id="6" w:name="_Toc237262830"/>
      <w:r>
        <w:rPr>
          <w:rFonts w:ascii="Times New Roman" w:hAnsi="Times New Roman" w:cs="Times New Roman"/>
          <w:color w:val="auto"/>
        </w:rPr>
        <w:t>1.4 Visión general del documento</w:t>
      </w:r>
      <w:bookmarkEnd w:id="6"/>
    </w:p>
    <w:p w14:paraId="523FE9F0" w14:textId="26FD5C3B"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documento se organiza en once secciones y tres anexos. La sección 2 describe el sistema en términos generales; su perspectiva dentro del ecosistema de aplicaciones de Gutis, sus funcionalidades de alto nivel, las características de sus usuarios y las restricciones y suposiciones que condicionan el diseño. La sección 3 identifica los actores, tanto humanos como sistemas externos.</w:t>
      </w:r>
    </w:p>
    <w:p w14:paraId="40ECA5B1" w14:textId="7720A338"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lastRenderedPageBreak/>
        <w:t>Las secciones 4 y 5 constituyen el núcleo normativo; la primera enumera los requerimientos funcionales agrupados por categoría, y la segunda los requerimientos no funcionales organizados por atributo de calidad. La sección 6 desarrolla los casos de uso principales con sus flujos detallados, y la sección 7 consolida las reglas de negocio que gobiernan el cálculo de estados.</w:t>
      </w:r>
    </w:p>
    <w:p w14:paraId="3E513A87" w14:textId="58AEB1ED"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La sección 8 presenta el modelo de datos preliminar, que se formalizará en el Sprint 2. Las secciones 9 y 10 recogen las restricciones del proyecto y los criterios de aceptación generales. Los anexos amplían el glosario, especifican el formato del archivo de carga y detallan las referencias técnicas de las APIs.</w:t>
      </w:r>
    </w:p>
    <w:p w14:paraId="0A228505" w14:textId="77777777" w:rsidR="00CE2DA2" w:rsidRPr="00317AA7" w:rsidRDefault="00D91203">
      <w:pPr>
        <w:pStyle w:val="Ttulo1"/>
        <w:pageBreakBefore/>
        <w:rPr>
          <w:rFonts w:ascii="Times New Roman" w:hAnsi="Times New Roman" w:cs="Times New Roman"/>
          <w:color w:val="auto"/>
        </w:rPr>
      </w:pPr>
      <w:bookmarkStart w:id="7" w:name="_Toc237262831"/>
      <w:r>
        <w:rPr>
          <w:rFonts w:ascii="Times New Roman" w:hAnsi="Times New Roman" w:cs="Times New Roman"/>
          <w:color w:val="auto"/>
        </w:rPr>
        <w:lastRenderedPageBreak/>
        <w:t>2. Descripción general del sistema</w:t>
      </w:r>
      <w:bookmarkEnd w:id="7"/>
    </w:p>
    <w:p w14:paraId="6955C471" w14:textId="77777777" w:rsidR="00CE2DA2" w:rsidRPr="00317AA7" w:rsidRDefault="00D91203">
      <w:pPr>
        <w:pStyle w:val="Ttulo2"/>
        <w:rPr>
          <w:rFonts w:ascii="Times New Roman" w:hAnsi="Times New Roman" w:cs="Times New Roman"/>
          <w:color w:val="auto"/>
        </w:rPr>
      </w:pPr>
      <w:bookmarkStart w:id="8" w:name="_Toc237262832"/>
      <w:r>
        <w:rPr>
          <w:rFonts w:ascii="Times New Roman" w:hAnsi="Times New Roman" w:cs="Times New Roman"/>
          <w:color w:val="auto"/>
        </w:rPr>
        <w:t>2.1 Perspectiva del producto</w:t>
      </w:r>
      <w:bookmarkEnd w:id="8"/>
    </w:p>
    <w:p w14:paraId="168E5463" w14:textId="5ED88700"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TrackIn es un sistema nuevo y autocontenido. No sustituye ni extiende una aplicación existente. Actualmente, Laboratorios Gutis no dispone de herramienta alguna de tracking logístico, y el monitoreo se realiza mediante consultas manuales a proveedores, navieras y agentes aduanales, complementadas con la consulta de sitios web públicos de rastreo.</w:t>
      </w:r>
    </w:p>
    <w:p w14:paraId="7CF63F1F" w14:textId="77777777" w:rsidR="00DB3C92"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El sistema se sitúa como una capa de consulta y proyección que se alimenta de dos fuentes. Por un lado, la información maestra de pedidos de compra, que TrackIn obtiene de SAP S/4HANA a través del servicio API que pondrá a disposición el Centro de Competencias. Por otro, los datos de posición y estado de viaje que proveen las APIs externas de rastreo satelital. TrackIn no escribe en el ERP ni pretende sustituirlo; su función es cruzar ambas fuentes y derivar información de decisión que hoy no existe de forma consolidada.</w:t>
      </w:r>
    </w:p>
    <w:p w14:paraId="3A9E4979" w14:textId="651F4DBD" w:rsidR="00CE2DA2" w:rsidRPr="00317AA7"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El origen de los pedidos quedó definido durante el levantamiento con el área de Compras: TrackIn se alimentará de SAP mediante una API desarrollada por el Centro de Competencias, y no mediante exportaciones manuales a Excel. Esta definición constituye una desviación respecto del anteproyecto, que contemplaba la carga por archivo y excluía expresamente la integración con SAP; su incorporación al alcance requiere el aval del supervisor de empresa y del profesor asesor conforme a la sección 2.6. En una fase posterior se prevé además sustituir las APIs gratuitas de rastreo por servicios comerciales con acuerdo de nivel de servicio.</w:t>
      </w:r>
    </w:p>
    <w:p w14:paraId="65756BAA" w14:textId="77777777" w:rsidR="00CE2DA2" w:rsidRPr="00317AA7" w:rsidRDefault="00D91203">
      <w:pPr>
        <w:pStyle w:val="Ttulo2"/>
        <w:rPr>
          <w:rFonts w:ascii="Times New Roman" w:hAnsi="Times New Roman" w:cs="Times New Roman"/>
          <w:color w:val="auto"/>
        </w:rPr>
      </w:pPr>
      <w:bookmarkStart w:id="9" w:name="_Toc237262833"/>
      <w:r>
        <w:rPr>
          <w:rFonts w:ascii="Times New Roman" w:hAnsi="Times New Roman" w:cs="Times New Roman"/>
          <w:color w:val="auto"/>
        </w:rPr>
        <w:t>2.2 Funcionalidades del producto</w:t>
      </w:r>
      <w:bookmarkEnd w:id="9"/>
    </w:p>
    <w:p w14:paraId="64B04840" w14:textId="77777777" w:rsidR="00CE2DA2" w:rsidRPr="00317AA7" w:rsidRDefault="00D91203" w:rsidP="00DB3C92">
      <w:pPr>
        <w:spacing w:after="120"/>
        <w:ind w:firstLine="200"/>
        <w:jc w:val="both"/>
        <w:rPr>
          <w:rFonts w:ascii="Times New Roman" w:hAnsi="Times New Roman" w:cs="Times New Roman"/>
          <w:color w:val="auto"/>
        </w:rPr>
      </w:pPr>
      <w:r>
        <w:rPr>
          <w:rFonts w:ascii="Times New Roman" w:hAnsi="Times New Roman" w:cs="Times New Roman"/>
          <w:color w:val="auto"/>
        </w:rPr>
        <w:t>A alto nivel, el sistema ofrece las siguientes capacidades. La sección 4 las desarrolla como requerimientos verificables.</w:t>
      </w:r>
    </w:p>
    <w:p w14:paraId="59D0A3E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Sincronización de los pedidos de compra en tránsito desde SAP S/4HANA mediante su servicio API, con validación de los datos recibidos y reporte de los registros rechazados.</w:t>
      </w:r>
    </w:p>
    <w:p w14:paraId="342BC66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Asociación de cada pedido a un identificador de rastreo externo: MMSI, IMO o nombre de buque para vía marítima; número de vuelo para vía aérea.</w:t>
      </w:r>
    </w:p>
    <w:p w14:paraId="0E674B3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Consulta periódica y automática de las APIs de rastreo, con obtención de posición, rumbo, velocidad, ETA y estado de viaje.</w:t>
      </w:r>
    </w:p>
    <w:p w14:paraId="2BBC4E40"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Cálculo de la fecha proyectada de disponibilidad como suma de la ETA o ATA del destino más el lead time maestro parametrizado.</w:t>
      </w:r>
    </w:p>
    <w:p w14:paraId="7212B09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Determinación automática del estado logístico de cada pedido bajo un esquema de semáforo.</w:t>
      </w:r>
    </w:p>
    <w:p w14:paraId="520E35D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Confirmación manual de desembarco, para los casos en que la fuente automática no reporta la llegada.</w:t>
      </w:r>
    </w:p>
    <w:p w14:paraId="121008B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Actualización manual de la nave asignada a un pedido cuando el transportista notifica un transbordo en un puerto intermedio.</w:t>
      </w:r>
    </w:p>
    <w:p w14:paraId="0633C1E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Dashboard web con cinta de KPIs, grilla central de pedidos y dos mapas interactivos diferenciados por vía de transporte.</w:t>
      </w:r>
    </w:p>
    <w:p w14:paraId="0C2C47C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Vista de próximos arribos con los cinco pedidos más cercanos a llegar.</w:t>
      </w:r>
    </w:p>
    <w:p w14:paraId="0AA1D9F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Filtrado transversal por orden de compra, proveedor, material, vía, estado y destino.</w:t>
      </w:r>
    </w:p>
    <w:p w14:paraId="7E338A8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Registro histórico de posiciones con almacenamiento del payload completo de la API, para auditoría y reconstrucción de trayecto.</w:t>
      </w:r>
    </w:p>
    <w:p w14:paraId="1A5761C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Administración del maestro de destinos y sus lead times asociados.</w:t>
      </w:r>
    </w:p>
    <w:p w14:paraId="254EA9E5" w14:textId="77777777" w:rsidR="00CE2DA2" w:rsidRPr="00317AA7" w:rsidRDefault="00D91203">
      <w:pPr>
        <w:pStyle w:val="Ttulo2"/>
        <w:rPr>
          <w:rFonts w:ascii="Times New Roman" w:hAnsi="Times New Roman" w:cs="Times New Roman"/>
          <w:color w:val="auto"/>
        </w:rPr>
      </w:pPr>
      <w:bookmarkStart w:id="10" w:name="_Toc237262834"/>
      <w:r>
        <w:rPr>
          <w:rFonts w:ascii="Times New Roman" w:hAnsi="Times New Roman" w:cs="Times New Roman"/>
          <w:color w:val="auto"/>
        </w:rPr>
        <w:t>2.3 Características de los usuarios</w:t>
      </w:r>
      <w:bookmarkEnd w:id="10"/>
    </w:p>
    <w:p w14:paraId="55D87C2C" w14:textId="7958F4FA" w:rsidR="00CE2DA2" w:rsidRPr="00317AA7"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Los usuarios del sistema pertenecen a cuatro áreas funcionales de Laboratorios Gutis. Todos poseen familiaridad con herramientas ofimáticas y con el ERP corporativo, pero no se asume conocimiento técnico en sistemas de información geográfica ni en logística satelital. Esta consideración condiciona los requerimientos de usabilidad de la sección 5.3.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900"/>
        <w:gridCol w:w="3460"/>
      </w:tblGrid>
      <w:tr w:rsidR="00CE2DA2" w:rsidRPr="00317AA7" w14:paraId="5C33EA34" w14:textId="77777777">
        <w:trPr>
          <w:tblHeader/>
        </w:trPr>
        <w:tc>
          <w:tcPr>
            <w:tcW w:w="1900" w:type="dxa"/>
            <w:shd w:val="clear" w:color="auto" w:fill="D9E2F3"/>
            <w:tcMar>
              <w:top w:w="60" w:type="dxa"/>
              <w:left w:w="100" w:type="dxa"/>
              <w:bottom w:w="60" w:type="dxa"/>
              <w:right w:w="100" w:type="dxa"/>
            </w:tcMar>
          </w:tcPr>
          <w:p w14:paraId="6D2096D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Perfil</w:t>
            </w:r>
          </w:p>
        </w:tc>
        <w:tc>
          <w:tcPr>
            <w:tcW w:w="2100" w:type="dxa"/>
            <w:shd w:val="clear" w:color="auto" w:fill="D9E2F3"/>
            <w:tcMar>
              <w:top w:w="60" w:type="dxa"/>
              <w:left w:w="100" w:type="dxa"/>
              <w:bottom w:w="60" w:type="dxa"/>
              <w:right w:w="100" w:type="dxa"/>
            </w:tcMar>
          </w:tcPr>
          <w:p w14:paraId="1647EE2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Área</w:t>
            </w:r>
          </w:p>
        </w:tc>
        <w:tc>
          <w:tcPr>
            <w:tcW w:w="1900" w:type="dxa"/>
            <w:shd w:val="clear" w:color="auto" w:fill="D9E2F3"/>
            <w:tcMar>
              <w:top w:w="60" w:type="dxa"/>
              <w:left w:w="100" w:type="dxa"/>
              <w:bottom w:w="60" w:type="dxa"/>
              <w:right w:w="100" w:type="dxa"/>
            </w:tcMar>
          </w:tcPr>
          <w:p w14:paraId="608746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Frecuencia de uso</w:t>
            </w:r>
          </w:p>
        </w:tc>
        <w:tc>
          <w:tcPr>
            <w:tcW w:w="3460" w:type="dxa"/>
            <w:shd w:val="clear" w:color="auto" w:fill="D9E2F3"/>
            <w:tcMar>
              <w:top w:w="60" w:type="dxa"/>
              <w:left w:w="100" w:type="dxa"/>
              <w:bottom w:w="60" w:type="dxa"/>
              <w:right w:w="100" w:type="dxa"/>
            </w:tcMar>
          </w:tcPr>
          <w:p w14:paraId="40962C7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Competencia técnica</w:t>
            </w:r>
          </w:p>
        </w:tc>
      </w:tr>
      <w:tr w:rsidR="00CE2DA2" w:rsidRPr="00317AA7" w14:paraId="4BC6D391" w14:textId="77777777">
        <w:tc>
          <w:tcPr>
            <w:tcW w:w="1900" w:type="dxa"/>
            <w:tcMar>
              <w:top w:w="60" w:type="dxa"/>
              <w:left w:w="100" w:type="dxa"/>
              <w:bottom w:w="60" w:type="dxa"/>
              <w:right w:w="100" w:type="dxa"/>
            </w:tcMar>
          </w:tcPr>
          <w:p w14:paraId="4EACB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Compras</w:t>
            </w:r>
          </w:p>
        </w:tc>
        <w:tc>
          <w:tcPr>
            <w:tcW w:w="2100" w:type="dxa"/>
            <w:tcMar>
              <w:top w:w="60" w:type="dxa"/>
              <w:left w:w="100" w:type="dxa"/>
              <w:bottom w:w="60" w:type="dxa"/>
              <w:right w:w="100" w:type="dxa"/>
            </w:tcMar>
          </w:tcPr>
          <w:p w14:paraId="51EC757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Compras</w:t>
            </w:r>
          </w:p>
        </w:tc>
        <w:tc>
          <w:tcPr>
            <w:tcW w:w="1900" w:type="dxa"/>
            <w:tcMar>
              <w:top w:w="60" w:type="dxa"/>
              <w:left w:w="100" w:type="dxa"/>
              <w:bottom w:w="60" w:type="dxa"/>
              <w:right w:w="100" w:type="dxa"/>
            </w:tcMar>
          </w:tcPr>
          <w:p w14:paraId="776239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Diaria</w:t>
            </w:r>
          </w:p>
        </w:tc>
        <w:tc>
          <w:tcPr>
            <w:tcW w:w="3460" w:type="dxa"/>
            <w:tcMar>
              <w:top w:w="60" w:type="dxa"/>
              <w:left w:w="100" w:type="dxa"/>
              <w:bottom w:w="60" w:type="dxa"/>
              <w:right w:w="100" w:type="dxa"/>
            </w:tcMar>
          </w:tcPr>
          <w:p w14:paraId="0E32BE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 Domina el ERP y Excel. Sin conocimiento de cartografía ni de sistemas de rastreo.</w:t>
            </w:r>
          </w:p>
        </w:tc>
      </w:tr>
      <w:tr w:rsidR="00CE2DA2" w:rsidRPr="00317AA7" w14:paraId="3F6CE051" w14:textId="77777777">
        <w:tc>
          <w:tcPr>
            <w:tcW w:w="1900" w:type="dxa"/>
            <w:tcMar>
              <w:top w:w="60" w:type="dxa"/>
              <w:left w:w="100" w:type="dxa"/>
              <w:bottom w:w="60" w:type="dxa"/>
              <w:right w:w="100" w:type="dxa"/>
            </w:tcMar>
          </w:tcPr>
          <w:p w14:paraId="25AF2F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c>
          <w:tcPr>
            <w:tcW w:w="2100" w:type="dxa"/>
            <w:tcMar>
              <w:top w:w="60" w:type="dxa"/>
              <w:left w:w="100" w:type="dxa"/>
              <w:bottom w:w="60" w:type="dxa"/>
              <w:right w:w="100" w:type="dxa"/>
            </w:tcMar>
          </w:tcPr>
          <w:p w14:paraId="4CB67DB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Logística y comercio exterior</w:t>
            </w:r>
          </w:p>
        </w:tc>
        <w:tc>
          <w:tcPr>
            <w:tcW w:w="1900" w:type="dxa"/>
            <w:tcMar>
              <w:top w:w="60" w:type="dxa"/>
              <w:left w:w="100" w:type="dxa"/>
              <w:bottom w:w="60" w:type="dxa"/>
              <w:right w:w="100" w:type="dxa"/>
            </w:tcMar>
          </w:tcPr>
          <w:p w14:paraId="10014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Diaria</w:t>
            </w:r>
          </w:p>
        </w:tc>
        <w:tc>
          <w:tcPr>
            <w:tcW w:w="3460" w:type="dxa"/>
            <w:tcMar>
              <w:top w:w="60" w:type="dxa"/>
              <w:left w:w="100" w:type="dxa"/>
              <w:bottom w:w="60" w:type="dxa"/>
              <w:right w:w="100" w:type="dxa"/>
            </w:tcMar>
          </w:tcPr>
          <w:p w14:paraId="1D4D742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Media-alta en el dominio logístico. Conoce documentación de embarque, identificadores de nave y trámites aduanales.</w:t>
            </w:r>
          </w:p>
        </w:tc>
      </w:tr>
      <w:tr w:rsidR="00CE2DA2" w:rsidRPr="00317AA7" w14:paraId="60C07282" w14:textId="77777777">
        <w:tc>
          <w:tcPr>
            <w:tcW w:w="1900" w:type="dxa"/>
            <w:tcMar>
              <w:top w:w="60" w:type="dxa"/>
              <w:left w:w="100" w:type="dxa"/>
              <w:bottom w:w="60" w:type="dxa"/>
              <w:right w:w="100" w:type="dxa"/>
            </w:tcMar>
          </w:tcPr>
          <w:p w14:paraId="4EE6647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Planificación</w:t>
            </w:r>
          </w:p>
        </w:tc>
        <w:tc>
          <w:tcPr>
            <w:tcW w:w="2100" w:type="dxa"/>
            <w:tcMar>
              <w:top w:w="60" w:type="dxa"/>
              <w:left w:w="100" w:type="dxa"/>
              <w:bottom w:w="60" w:type="dxa"/>
              <w:right w:w="100" w:type="dxa"/>
            </w:tcMar>
          </w:tcPr>
          <w:p w14:paraId="77A8BEF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Planificación de Producción</w:t>
            </w:r>
          </w:p>
        </w:tc>
        <w:tc>
          <w:tcPr>
            <w:tcW w:w="1900" w:type="dxa"/>
            <w:tcMar>
              <w:top w:w="60" w:type="dxa"/>
              <w:left w:w="100" w:type="dxa"/>
              <w:bottom w:w="60" w:type="dxa"/>
              <w:right w:w="100" w:type="dxa"/>
            </w:tcMar>
          </w:tcPr>
          <w:p w14:paraId="1FB2B0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Semanal o ante alerta</w:t>
            </w:r>
          </w:p>
        </w:tc>
        <w:tc>
          <w:tcPr>
            <w:tcW w:w="3460" w:type="dxa"/>
            <w:tcMar>
              <w:top w:w="60" w:type="dxa"/>
              <w:left w:w="100" w:type="dxa"/>
              <w:bottom w:w="60" w:type="dxa"/>
              <w:right w:w="100" w:type="dxa"/>
            </w:tcMar>
          </w:tcPr>
          <w:p w14:paraId="253441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 Consume la fecha proyectada como insumo del cálculo de necesidades de materiales.</w:t>
            </w:r>
          </w:p>
        </w:tc>
      </w:tr>
      <w:tr w:rsidR="00CE2DA2" w:rsidRPr="00317AA7" w14:paraId="0267ACAD" w14:textId="77777777">
        <w:tc>
          <w:tcPr>
            <w:tcW w:w="1900" w:type="dxa"/>
            <w:tcMar>
              <w:top w:w="60" w:type="dxa"/>
              <w:left w:w="100" w:type="dxa"/>
              <w:bottom w:w="60" w:type="dxa"/>
              <w:right w:w="100" w:type="dxa"/>
            </w:tcMar>
          </w:tcPr>
          <w:p w14:paraId="51F5BD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Gerencia de Operaciones</w:t>
            </w:r>
          </w:p>
        </w:tc>
        <w:tc>
          <w:tcPr>
            <w:tcW w:w="2100" w:type="dxa"/>
            <w:tcMar>
              <w:top w:w="60" w:type="dxa"/>
              <w:left w:w="100" w:type="dxa"/>
              <w:bottom w:w="60" w:type="dxa"/>
              <w:right w:w="100" w:type="dxa"/>
            </w:tcMar>
          </w:tcPr>
          <w:p w14:paraId="5B81C2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Dirección de operaciones</w:t>
            </w:r>
          </w:p>
        </w:tc>
        <w:tc>
          <w:tcPr>
            <w:tcW w:w="1900" w:type="dxa"/>
            <w:tcMar>
              <w:top w:w="60" w:type="dxa"/>
              <w:left w:w="100" w:type="dxa"/>
              <w:bottom w:w="60" w:type="dxa"/>
              <w:right w:w="100" w:type="dxa"/>
            </w:tcMar>
          </w:tcPr>
          <w:p w14:paraId="1C1F7F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Semanal, consulta agregada</w:t>
            </w:r>
          </w:p>
        </w:tc>
        <w:tc>
          <w:tcPr>
            <w:tcW w:w="3460" w:type="dxa"/>
            <w:tcMar>
              <w:top w:w="60" w:type="dxa"/>
              <w:left w:w="100" w:type="dxa"/>
              <w:bottom w:w="60" w:type="dxa"/>
              <w:right w:w="100" w:type="dxa"/>
            </w:tcMar>
          </w:tcPr>
          <w:p w14:paraId="7F7D3B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Baja-media. Consume principalmente KPIs y tendencias, no el detalle operativo.</w:t>
            </w:r>
          </w:p>
        </w:tc>
      </w:tr>
      <w:tr w:rsidR="00CE2DA2" w:rsidRPr="00317AA7" w14:paraId="6F5EC42C" w14:textId="77777777">
        <w:tc>
          <w:tcPr>
            <w:tcW w:w="1900" w:type="dxa"/>
            <w:tcMar>
              <w:top w:w="60" w:type="dxa"/>
              <w:left w:w="100" w:type="dxa"/>
              <w:bottom w:w="60" w:type="dxa"/>
              <w:right w:w="100" w:type="dxa"/>
            </w:tcMar>
          </w:tcPr>
          <w:p w14:paraId="5E5825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Administrador del sistema</w:t>
            </w:r>
          </w:p>
        </w:tc>
        <w:tc>
          <w:tcPr>
            <w:tcW w:w="2100" w:type="dxa"/>
            <w:tcMar>
              <w:top w:w="60" w:type="dxa"/>
              <w:left w:w="100" w:type="dxa"/>
              <w:bottom w:w="60" w:type="dxa"/>
              <w:right w:w="100" w:type="dxa"/>
            </w:tcMar>
          </w:tcPr>
          <w:p w14:paraId="769C5E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Centro de Competencias</w:t>
            </w:r>
          </w:p>
        </w:tc>
        <w:tc>
          <w:tcPr>
            <w:tcW w:w="1900" w:type="dxa"/>
            <w:tcMar>
              <w:top w:w="60" w:type="dxa"/>
              <w:left w:w="100" w:type="dxa"/>
              <w:bottom w:w="60" w:type="dxa"/>
              <w:right w:w="100" w:type="dxa"/>
            </w:tcMar>
          </w:tcPr>
          <w:p w14:paraId="67DACA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Ocasional</w:t>
            </w:r>
          </w:p>
        </w:tc>
        <w:tc>
          <w:tcPr>
            <w:tcW w:w="3460" w:type="dxa"/>
            <w:tcMar>
              <w:top w:w="60" w:type="dxa"/>
              <w:left w:w="100" w:type="dxa"/>
              <w:bottom w:w="60" w:type="dxa"/>
              <w:right w:w="100" w:type="dxa"/>
            </w:tcMar>
          </w:tcPr>
          <w:p w14:paraId="4FA7B1D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 Perfil técnico responsable de la parametrización y el mantenimiento.</w:t>
            </w:r>
          </w:p>
        </w:tc>
      </w:tr>
    </w:tbl>
    <w:p w14:paraId="2198ACDE"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levantamiento con el área de Logística confirmó que los cinco perfiles descritos cubren la totalidad de los usuarios previstos del sistema. El área de Aseguramiento de la Calidad interviene en la liberación del material una vez recibido, pero no consume TrackIn, por lo que no se incorpora como perfil adicional.</w:t>
      </w:r>
    </w:p>
    <w:p w14:paraId="792C953D" w14:textId="77777777" w:rsidR="00CE2DA2" w:rsidRPr="00317AA7" w:rsidRDefault="00D91203">
      <w:pPr>
        <w:pStyle w:val="Ttulo2"/>
        <w:rPr>
          <w:rFonts w:ascii="Times New Roman" w:hAnsi="Times New Roman" w:cs="Times New Roman"/>
          <w:color w:val="auto"/>
        </w:rPr>
      </w:pPr>
      <w:bookmarkStart w:id="11" w:name="_Toc237262835"/>
      <w:r>
        <w:rPr>
          <w:rFonts w:ascii="Times New Roman" w:hAnsi="Times New Roman" w:cs="Times New Roman"/>
          <w:color w:val="auto"/>
        </w:rPr>
        <w:t>2.4 Restricciones generales</w:t>
      </w:r>
      <w:bookmarkEnd w:id="11"/>
    </w:p>
    <w:p w14:paraId="3E664823" w14:textId="721A8E62"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se ejecutará exclusivamente en entorno de desarrollo durante el curso de Práctica Profesional. No habrá despliegue productivo dentro del alcance.</w:t>
      </w:r>
    </w:p>
    <w:p w14:paraId="74EA2DA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stack tecnológico está definido por el documento técnico-funcional y no es objeto de decisión: Python 3.12 o superior con FastAPI, PostgreSQL 16 con PostGIS, React 18 con TypeScript y Leaflet.</w:t>
      </w:r>
    </w:p>
    <w:p w14:paraId="56E6F9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Las APIs de rastreo empleadas son gratuitas y carecen de acuerdo de nivel de servicio. La cobertura de AIS satelital y de ADS-B es incompleta por naturaleza, particularmente en alta mar y sobre regiones sin receptores terrestres.</w:t>
      </w:r>
    </w:p>
    <w:p w14:paraId="760BD61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no puede rastrear mercancía: las APIs AIS rastrean naves. Un pedido sin identificador de nave o vuelo asociado no es rastreable automáticamente, y permanecerá en estado Sin tracking.</w:t>
      </w:r>
    </w:p>
    <w:p w14:paraId="19C96BB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La nave consignada en el conocimiento de embarque no es necesariamente la que arriba a destino. Los transbordos en puertos intermedios son habituales en las rutas de Gutis y sólo los notifica el transportista, por lo que la vigencia del identificador de nave depende de su actualización manual por parte de Logística.</w:t>
      </w:r>
    </w:p>
    <w:p w14:paraId="3F203B05"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La fuente de pedidos es el servicio API de SAP S/4HANA, cuyo desarrollo corresponde al Centro de Competencias y no al practicante. La frescura de los datos de pedido depende de la periodicidad de sincronización configurada y de la disponibilidad de ese servicio.</w:t>
      </w:r>
    </w:p>
    <w:p w14:paraId="5284F79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No se implementará autenticación corporativa. El control de acceso en esta fase será el mínimo necesario para distinguir roles y auditar confirmaciones manuales.</w:t>
      </w:r>
    </w:p>
    <w:p w14:paraId="521A8430" w14:textId="77777777" w:rsidR="00CE2DA2" w:rsidRPr="00317AA7" w:rsidRDefault="00D91203">
      <w:pPr>
        <w:pStyle w:val="Ttulo2"/>
        <w:rPr>
          <w:rFonts w:ascii="Times New Roman" w:hAnsi="Times New Roman" w:cs="Times New Roman"/>
          <w:color w:val="auto"/>
        </w:rPr>
      </w:pPr>
      <w:bookmarkStart w:id="12" w:name="_Toc237262836"/>
      <w:r>
        <w:rPr>
          <w:rFonts w:ascii="Times New Roman" w:hAnsi="Times New Roman" w:cs="Times New Roman"/>
          <w:color w:val="auto"/>
        </w:rPr>
        <w:t>2.5 Suposiciones y dependencias</w:t>
      </w:r>
      <w:bookmarkEnd w:id="12"/>
    </w:p>
    <w:p w14:paraId="5E4E11B5" w14:textId="77777777" w:rsidR="00CE2DA2" w:rsidRPr="00317AA7" w:rsidRDefault="00D91203" w:rsidP="00DB3C92">
      <w:pPr>
        <w:spacing w:after="120"/>
        <w:ind w:firstLine="200"/>
        <w:jc w:val="both"/>
        <w:rPr>
          <w:rFonts w:ascii="Times New Roman" w:hAnsi="Times New Roman" w:cs="Times New Roman"/>
          <w:color w:val="auto"/>
        </w:rPr>
      </w:pPr>
      <w:r>
        <w:rPr>
          <w:rFonts w:ascii="Times New Roman" w:hAnsi="Times New Roman" w:cs="Times New Roman"/>
          <w:color w:val="auto"/>
        </w:rPr>
        <w:t>La validez de esta especificación descansa sobre las siguientes suposiciones. Su incumplimiento obligaría a revisar el alcance.</w:t>
      </w:r>
    </w:p>
    <w:p w14:paraId="740A38A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Logística puede registrar el identificador de nave o de vuelo una vez emitido el conocimiento de embarque o la guía aérea, y mantenerlo actualizado ante los transbordos que le notifique el transportista. Sin ese dato el rastreo automático no es posible.</w:t>
      </w:r>
    </w:p>
    <w:p w14:paraId="472C27B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el equipo de Logística puede definir y mantener los lead times por destino con precisión suficiente para que la fecha proyectada sea accionable.</w:t>
      </w:r>
    </w:p>
    <w:p w14:paraId="03FCC1F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las APIs gratuitas de AISStream y OpenSky Network mantendrán su disponibilidad y sus condiciones de uso durante el período de la práctica.</w:t>
      </w:r>
    </w:p>
    <w:p w14:paraId="12A91D4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los usuarios clave estarán disponibles para las sesiones de levantamiento de requerimientos, validación de prototipos y pruebas de aceptación.</w:t>
      </w:r>
    </w:p>
    <w:p w14:paraId="7CD6229B" w14:textId="54CE0EFD"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el Centro de Competencias entregará la especificación del servicio API de SAP</w:t>
      </w:r>
      <w:r w:rsidR="009D3FC6">
        <w:rPr>
          <w:rFonts w:ascii="Times New Roman" w:hAnsi="Times New Roman" w:cs="Times New Roman"/>
          <w:color w:val="auto"/>
        </w:rPr>
        <w:t xml:space="preserve">; </w:t>
      </w:r>
      <w:r>
        <w:rPr>
          <w:rFonts w:ascii="Times New Roman" w:hAnsi="Times New Roman" w:cs="Times New Roman"/>
          <w:color w:val="auto"/>
        </w:rPr>
        <w:t>campos, tipos de dato, autenticación y periodicidad admitida</w:t>
      </w:r>
      <w:r w:rsidR="009D3FC6">
        <w:rPr>
          <w:rFonts w:ascii="Times New Roman" w:hAnsi="Times New Roman" w:cs="Times New Roman"/>
          <w:color w:val="auto"/>
        </w:rPr>
        <w:t>;</w:t>
      </w:r>
      <w:r>
        <w:rPr>
          <w:rFonts w:ascii="Times New Roman" w:hAnsi="Times New Roman" w:cs="Times New Roman"/>
          <w:color w:val="auto"/>
        </w:rPr>
        <w:t xml:space="preserve"> junto con un entorno de pruebas y una respuesta de ejemplo, antes del inicio del Sprint 3.</w:t>
      </w:r>
    </w:p>
    <w:p w14:paraId="3DFA9C61" w14:textId="77777777" w:rsidR="00CE2DA2" w:rsidRPr="00317AA7" w:rsidRDefault="00D91203">
      <w:pPr>
        <w:shd w:val="clear" w:color="auto" w:fill="FFF2CC"/>
        <w:spacing w:before="100" w:after="140"/>
        <w:rPr>
          <w:rFonts w:ascii="Times New Roman" w:hAnsi="Times New Roman" w:cs="Times New Roman"/>
          <w:color w:val="auto"/>
        </w:rPr>
      </w:pPr>
      <w:r>
        <w:rPr>
          <w:rFonts w:ascii="Times New Roman" w:hAnsi="Times New Roman" w:cs="Times New Roman"/>
          <w:b/>
          <w:bCs/>
          <w:color w:val="auto"/>
        </w:rPr>
        <w:t xml:space="preserve">[PENDIENTE ESPECIFICACIÓN DE LA API DE SAP] </w:t>
      </w:r>
      <w:r>
        <w:rPr>
          <w:rFonts w:ascii="Times New Roman" w:hAnsi="Times New Roman" w:cs="Times New Roman"/>
          <w:i/>
          <w:iCs/>
          <w:color w:val="auto"/>
        </w:rPr>
        <w:t>El conjunto exacto de campos que expondrá el servicio de SAP, su mecanismo de autenticación y el volumen típico de pedidos en tránsito dependen de recibir esa especificación del Centro de Competencias. El Anexo B queda pendiente de esta información.</w:t>
      </w:r>
    </w:p>
    <w:p w14:paraId="524E09AF" w14:textId="77777777" w:rsidR="00CE2DA2" w:rsidRPr="00317AA7" w:rsidRDefault="00D91203">
      <w:pPr>
        <w:pStyle w:val="Ttulo2"/>
        <w:rPr>
          <w:rFonts w:ascii="Times New Roman" w:hAnsi="Times New Roman" w:cs="Times New Roman"/>
          <w:color w:val="auto"/>
        </w:rPr>
      </w:pPr>
      <w:bookmarkStart w:id="13" w:name="_Toc237262837"/>
      <w:r>
        <w:rPr>
          <w:rFonts w:ascii="Times New Roman" w:hAnsi="Times New Roman" w:cs="Times New Roman"/>
          <w:color w:val="auto"/>
        </w:rPr>
        <w:t>2.6 Documentos aplicables</w:t>
      </w:r>
      <w:bookmarkEnd w:id="13"/>
    </w:p>
    <w:p w14:paraId="16D64D4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documentos que rigen el desarrollo del proyecto, en orden de precedencia, son el anteproyecto aprobado [1], que delimita el alcance contractual; el documento técnico-funcional [2], que define la arquitectura objetivo y las reglas de negocio; y el presente SRS, que traduce ambos en requerimientos verificables. Ante discrepancia entre el anteproyecto y este documento, prevalece el anteproyecto por su carácter contractual con la Escuela.</w:t>
      </w:r>
    </w:p>
    <w:p w14:paraId="365E5F73" w14:textId="77777777" w:rsidR="00CE2DA2" w:rsidRPr="00317AA7" w:rsidRDefault="00D91203">
      <w:pPr>
        <w:pStyle w:val="Ttulo1"/>
        <w:pageBreakBefore/>
        <w:rPr>
          <w:rFonts w:ascii="Times New Roman" w:hAnsi="Times New Roman" w:cs="Times New Roman"/>
          <w:color w:val="auto"/>
        </w:rPr>
      </w:pPr>
      <w:bookmarkStart w:id="14" w:name="_Toc237262838"/>
      <w:r>
        <w:rPr>
          <w:rFonts w:ascii="Times New Roman" w:hAnsi="Times New Roman" w:cs="Times New Roman"/>
          <w:color w:val="auto"/>
        </w:rPr>
        <w:lastRenderedPageBreak/>
        <w:t>3. Actores del sistema</w:t>
      </w:r>
      <w:bookmarkEnd w:id="14"/>
    </w:p>
    <w:p w14:paraId="5D809864"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Se identifican cinco actores humanos y tres sistemas externos. Los actores humanos corresponden a los roles definidos en el documento técnico-funcional, ajustados a la estructura organizativa descrita en el anteproyecto y validados durante el levantamiento de requerimientos.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CE2DA2" w:rsidRPr="00317AA7" w14:paraId="5295F395" w14:textId="77777777">
        <w:trPr>
          <w:tblHeader/>
        </w:trPr>
        <w:tc>
          <w:tcPr>
            <w:tcW w:w="1900" w:type="dxa"/>
            <w:shd w:val="clear" w:color="auto" w:fill="D9E2F3"/>
            <w:tcMar>
              <w:top w:w="60" w:type="dxa"/>
              <w:left w:w="100" w:type="dxa"/>
              <w:bottom w:w="60" w:type="dxa"/>
              <w:right w:w="100" w:type="dxa"/>
            </w:tcMar>
          </w:tcPr>
          <w:p w14:paraId="2963177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w:t>
            </w:r>
          </w:p>
        </w:tc>
        <w:tc>
          <w:tcPr>
            <w:tcW w:w="3200" w:type="dxa"/>
            <w:shd w:val="clear" w:color="auto" w:fill="D9E2F3"/>
            <w:tcMar>
              <w:top w:w="60" w:type="dxa"/>
              <w:left w:w="100" w:type="dxa"/>
              <w:bottom w:w="60" w:type="dxa"/>
              <w:right w:w="100" w:type="dxa"/>
            </w:tcMar>
          </w:tcPr>
          <w:p w14:paraId="5987C9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4260" w:type="dxa"/>
            <w:shd w:val="clear" w:color="auto" w:fill="D9E2F3"/>
            <w:tcMar>
              <w:top w:w="60" w:type="dxa"/>
              <w:left w:w="100" w:type="dxa"/>
              <w:bottom w:w="60" w:type="dxa"/>
              <w:right w:w="100" w:type="dxa"/>
            </w:tcMar>
          </w:tcPr>
          <w:p w14:paraId="4940B61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Responsabilidades principales</w:t>
            </w:r>
          </w:p>
        </w:tc>
      </w:tr>
      <w:tr w:rsidR="00CE2DA2" w:rsidRPr="00317AA7" w14:paraId="24875E66" w14:textId="77777777">
        <w:tc>
          <w:tcPr>
            <w:tcW w:w="1900" w:type="dxa"/>
            <w:tcMar>
              <w:top w:w="60" w:type="dxa"/>
              <w:left w:w="100" w:type="dxa"/>
              <w:bottom w:w="60" w:type="dxa"/>
              <w:right w:w="100" w:type="dxa"/>
            </w:tcMar>
          </w:tcPr>
          <w:p w14:paraId="5DAE7E8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Compras</w:t>
            </w:r>
          </w:p>
        </w:tc>
        <w:tc>
          <w:tcPr>
            <w:tcW w:w="3200" w:type="dxa"/>
            <w:tcMar>
              <w:top w:w="60" w:type="dxa"/>
              <w:left w:w="100" w:type="dxa"/>
              <w:bottom w:w="60" w:type="dxa"/>
              <w:right w:w="100" w:type="dxa"/>
            </w:tcMar>
          </w:tcPr>
          <w:p w14:paraId="0A3A0F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del área de Compras responsable de la gestión de órdenes de compra internacionales.</w:t>
            </w:r>
          </w:p>
        </w:tc>
        <w:tc>
          <w:tcPr>
            <w:tcW w:w="4260" w:type="dxa"/>
            <w:tcMar>
              <w:top w:w="60" w:type="dxa"/>
              <w:left w:w="100" w:type="dxa"/>
              <w:bottom w:w="60" w:type="dxa"/>
              <w:right w:w="100" w:type="dxa"/>
            </w:tcMar>
          </w:tcPr>
          <w:p w14:paraId="70666D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el estado de sus pedidos. Detectar atrasos y anticipar su impacto. Filtrar por orden de compra, proveedor, material, estado y destino. Gestionar la comunicación con el proveedor ante desvíos.</w:t>
            </w:r>
          </w:p>
        </w:tc>
      </w:tr>
      <w:tr w:rsidR="00CE2DA2" w:rsidRPr="00317AA7" w14:paraId="1B3483A7" w14:textId="77777777">
        <w:tc>
          <w:tcPr>
            <w:tcW w:w="1900" w:type="dxa"/>
            <w:tcMar>
              <w:top w:w="60" w:type="dxa"/>
              <w:left w:w="100" w:type="dxa"/>
              <w:bottom w:w="60" w:type="dxa"/>
              <w:right w:w="100" w:type="dxa"/>
            </w:tcMar>
          </w:tcPr>
          <w:p w14:paraId="783D44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c>
          <w:tcPr>
            <w:tcW w:w="3200" w:type="dxa"/>
            <w:tcMar>
              <w:top w:w="60" w:type="dxa"/>
              <w:left w:w="100" w:type="dxa"/>
              <w:bottom w:w="60" w:type="dxa"/>
              <w:right w:w="100" w:type="dxa"/>
            </w:tcMar>
          </w:tcPr>
          <w:p w14:paraId="6175D2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de logística y comercio exterior encargado del seguimiento de embarques y trámites aduanales.</w:t>
            </w:r>
          </w:p>
        </w:tc>
        <w:tc>
          <w:tcPr>
            <w:tcW w:w="4260" w:type="dxa"/>
            <w:tcMar>
              <w:top w:w="60" w:type="dxa"/>
              <w:left w:w="100" w:type="dxa"/>
              <w:bottom w:w="60" w:type="dxa"/>
              <w:right w:w="100" w:type="dxa"/>
            </w:tcMar>
          </w:tcPr>
          <w:p w14:paraId="001E08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Asociar cada pedido a su identificador de rastreo externo. Mantener el maestro de destinos y sus lead times. Confirmar manualmente el desembarco. Registrar observaciones logísticas.</w:t>
            </w:r>
          </w:p>
        </w:tc>
      </w:tr>
      <w:tr w:rsidR="00CE2DA2" w:rsidRPr="00317AA7" w14:paraId="6DE53CB3" w14:textId="77777777">
        <w:tc>
          <w:tcPr>
            <w:tcW w:w="1900" w:type="dxa"/>
            <w:tcMar>
              <w:top w:w="60" w:type="dxa"/>
              <w:left w:w="100" w:type="dxa"/>
              <w:bottom w:w="60" w:type="dxa"/>
              <w:right w:w="100" w:type="dxa"/>
            </w:tcMar>
          </w:tcPr>
          <w:p w14:paraId="48AB4E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Planificación de Producción</w:t>
            </w:r>
          </w:p>
        </w:tc>
        <w:tc>
          <w:tcPr>
            <w:tcW w:w="3200" w:type="dxa"/>
            <w:tcMar>
              <w:top w:w="60" w:type="dxa"/>
              <w:left w:w="100" w:type="dxa"/>
              <w:bottom w:w="60" w:type="dxa"/>
              <w:right w:w="100" w:type="dxa"/>
            </w:tcMar>
          </w:tcPr>
          <w:p w14:paraId="6EE79D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responsable del cálculo de necesidades de materiales y de la programación de planta.</w:t>
            </w:r>
          </w:p>
        </w:tc>
        <w:tc>
          <w:tcPr>
            <w:tcW w:w="4260" w:type="dxa"/>
            <w:tcMar>
              <w:top w:w="60" w:type="dxa"/>
              <w:left w:w="100" w:type="dxa"/>
              <w:bottom w:w="60" w:type="dxa"/>
              <w:right w:w="100" w:type="dxa"/>
            </w:tcMar>
          </w:tcPr>
          <w:p w14:paraId="468EC3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la fecha proyectada de disponibilidad como insumo de la planificación. Reaccionar ante pedidos en riesgo o retrasados reprogramando producción.</w:t>
            </w:r>
          </w:p>
        </w:tc>
      </w:tr>
      <w:tr w:rsidR="00CE2DA2" w:rsidRPr="00317AA7" w14:paraId="3BF25E2B" w14:textId="77777777">
        <w:tc>
          <w:tcPr>
            <w:tcW w:w="1900" w:type="dxa"/>
            <w:tcMar>
              <w:top w:w="60" w:type="dxa"/>
              <w:left w:w="100" w:type="dxa"/>
              <w:bottom w:w="60" w:type="dxa"/>
              <w:right w:w="100" w:type="dxa"/>
            </w:tcMar>
          </w:tcPr>
          <w:p w14:paraId="0E567FB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Gerencia de Operaciones</w:t>
            </w:r>
          </w:p>
        </w:tc>
        <w:tc>
          <w:tcPr>
            <w:tcW w:w="3200" w:type="dxa"/>
            <w:tcMar>
              <w:top w:w="60" w:type="dxa"/>
              <w:left w:w="100" w:type="dxa"/>
              <w:bottom w:w="60" w:type="dxa"/>
              <w:right w:w="100" w:type="dxa"/>
            </w:tcMar>
          </w:tcPr>
          <w:p w14:paraId="276D42B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Dirección responsable del desempeño global de la cadena de suministro.</w:t>
            </w:r>
          </w:p>
        </w:tc>
        <w:tc>
          <w:tcPr>
            <w:tcW w:w="4260" w:type="dxa"/>
            <w:tcMar>
              <w:top w:w="60" w:type="dxa"/>
              <w:left w:w="100" w:type="dxa"/>
              <w:bottom w:w="60" w:type="dxa"/>
              <w:right w:w="100" w:type="dxa"/>
            </w:tcMar>
          </w:tcPr>
          <w:p w14:paraId="25A4BC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indicadores agregados de desempeño logístico. Evaluar tendencias de cumplimiento por proveedor, destino y vía de transporte.</w:t>
            </w:r>
          </w:p>
        </w:tc>
      </w:tr>
      <w:tr w:rsidR="00CE2DA2" w:rsidRPr="00317AA7" w14:paraId="58109214" w14:textId="77777777">
        <w:tc>
          <w:tcPr>
            <w:tcW w:w="1900" w:type="dxa"/>
            <w:tcMar>
              <w:top w:w="60" w:type="dxa"/>
              <w:left w:w="100" w:type="dxa"/>
              <w:bottom w:w="60" w:type="dxa"/>
              <w:right w:w="100" w:type="dxa"/>
            </w:tcMar>
          </w:tcPr>
          <w:p w14:paraId="5C137C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Administrador del sistema</w:t>
            </w:r>
          </w:p>
        </w:tc>
        <w:tc>
          <w:tcPr>
            <w:tcW w:w="3200" w:type="dxa"/>
            <w:tcMar>
              <w:top w:w="60" w:type="dxa"/>
              <w:left w:w="100" w:type="dxa"/>
              <w:bottom w:w="60" w:type="dxa"/>
              <w:right w:w="100" w:type="dxa"/>
            </w:tcMar>
          </w:tcPr>
          <w:p w14:paraId="72AC59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Perfil técnico del Centro de Competencias.</w:t>
            </w:r>
          </w:p>
        </w:tc>
        <w:tc>
          <w:tcPr>
            <w:tcW w:w="4260" w:type="dxa"/>
            <w:tcMar>
              <w:top w:w="60" w:type="dxa"/>
              <w:left w:w="100" w:type="dxa"/>
              <w:bottom w:w="60" w:type="dxa"/>
              <w:right w:w="100" w:type="dxa"/>
            </w:tcMar>
          </w:tcPr>
          <w:p w14:paraId="58FC09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Parametrizar credenciales y umbrales de las APIs. Administrar cuentas de usuario. Mantener las reglas de cálculo y los parámetros de configuración.</w:t>
            </w:r>
          </w:p>
        </w:tc>
      </w:tr>
      <w:tr w:rsidR="00CE2DA2" w:rsidRPr="00317AA7" w14:paraId="722BEE0E" w14:textId="77777777">
        <w:tc>
          <w:tcPr>
            <w:tcW w:w="1900" w:type="dxa"/>
            <w:tcMar>
              <w:top w:w="60" w:type="dxa"/>
              <w:left w:w="100" w:type="dxa"/>
              <w:bottom w:w="60" w:type="dxa"/>
              <w:right w:w="100" w:type="dxa"/>
            </w:tcMar>
          </w:tcPr>
          <w:p w14:paraId="0EC0E1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AISStream (sistema externo)</w:t>
            </w:r>
          </w:p>
        </w:tc>
        <w:tc>
          <w:tcPr>
            <w:tcW w:w="3200" w:type="dxa"/>
            <w:tcMar>
              <w:top w:w="60" w:type="dxa"/>
              <w:left w:w="100" w:type="dxa"/>
              <w:bottom w:w="60" w:type="dxa"/>
              <w:right w:w="100" w:type="dxa"/>
            </w:tcMar>
          </w:tcPr>
          <w:p w14:paraId="188D77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Servicio WebSocket gratuito de recepción de datos AIS de embarcaciones.</w:t>
            </w:r>
          </w:p>
        </w:tc>
        <w:tc>
          <w:tcPr>
            <w:tcW w:w="4260" w:type="dxa"/>
            <w:tcMar>
              <w:top w:w="60" w:type="dxa"/>
              <w:left w:w="100" w:type="dxa"/>
              <w:bottom w:w="60" w:type="dxa"/>
              <w:right w:w="100" w:type="dxa"/>
            </w:tcMar>
          </w:tcPr>
          <w:p w14:paraId="063674C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Proveer reportes de posición de buques por área geográfica. Requiere clave de API. Es la fuente del rastreo marítimo del prototipo.</w:t>
            </w:r>
          </w:p>
        </w:tc>
      </w:tr>
      <w:tr w:rsidR="00CE2DA2" w:rsidRPr="00317AA7" w14:paraId="7E5D1452" w14:textId="77777777">
        <w:tc>
          <w:tcPr>
            <w:tcW w:w="1900" w:type="dxa"/>
            <w:tcMar>
              <w:top w:w="60" w:type="dxa"/>
              <w:left w:w="100" w:type="dxa"/>
              <w:bottom w:w="60" w:type="dxa"/>
              <w:right w:w="100" w:type="dxa"/>
            </w:tcMar>
          </w:tcPr>
          <w:p w14:paraId="1A588C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OpenSky Network (sistema externo)</w:t>
            </w:r>
          </w:p>
        </w:tc>
        <w:tc>
          <w:tcPr>
            <w:tcW w:w="3200" w:type="dxa"/>
            <w:tcMar>
              <w:top w:w="60" w:type="dxa"/>
              <w:left w:w="100" w:type="dxa"/>
              <w:bottom w:w="60" w:type="dxa"/>
              <w:right w:w="100" w:type="dxa"/>
            </w:tcMar>
          </w:tcPr>
          <w:p w14:paraId="5213807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abierta de rastreo de vuelos con datos ADS-B.</w:t>
            </w:r>
          </w:p>
        </w:tc>
        <w:tc>
          <w:tcPr>
            <w:tcW w:w="4260" w:type="dxa"/>
            <w:tcMar>
              <w:top w:w="60" w:type="dxa"/>
              <w:left w:w="100" w:type="dxa"/>
              <w:bottom w:w="60" w:type="dxa"/>
              <w:right w:w="100" w:type="dxa"/>
            </w:tcMar>
          </w:tcPr>
          <w:p w14:paraId="513521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Proveer estado y posición de aeronaves. No entrega itinerarios comerciales ni datos de retraso no derivados de ADS-B. Es la fuente del rastreo aéreo del prototipo.</w:t>
            </w:r>
          </w:p>
        </w:tc>
      </w:tr>
      <w:tr w:rsidR="00CE2DA2" w:rsidRPr="00317AA7" w14:paraId="6173B382" w14:textId="77777777">
        <w:tc>
          <w:tcPr>
            <w:tcW w:w="1900" w:type="dxa"/>
            <w:tcMar>
              <w:top w:w="60" w:type="dxa"/>
              <w:left w:w="100" w:type="dxa"/>
              <w:bottom w:w="60" w:type="dxa"/>
              <w:right w:w="100" w:type="dxa"/>
            </w:tcMar>
          </w:tcPr>
          <w:p w14:paraId="5F361296" w14:textId="77777777" w:rsidR="00CE2DA2" w:rsidRPr="00573A30" w:rsidRDefault="00D91203">
            <w:pPr>
              <w:rPr>
                <w:rFonts w:ascii="Times New Roman" w:hAnsi="Times New Roman" w:cs="Times New Roman"/>
                <w:color w:val="auto"/>
                <w:lang w:val="pt-BR"/>
              </w:rPr>
            </w:pPr>
            <w:r w:rsidRPr="00573A30">
              <w:rPr>
                <w:rFonts w:ascii="Times New Roman" w:hAnsi="Times New Roman" w:cs="Times New Roman"/>
                <w:color w:val="auto"/>
                <w:sz w:val="20"/>
                <w:szCs w:val="20"/>
                <w:lang w:val="pt-BR"/>
              </w:rPr>
              <w:t>SAP S/4HANA (sistema externo)</w:t>
            </w:r>
          </w:p>
        </w:tc>
        <w:tc>
          <w:tcPr>
            <w:tcW w:w="3200" w:type="dxa"/>
            <w:tcMar>
              <w:top w:w="60" w:type="dxa"/>
              <w:left w:w="100" w:type="dxa"/>
              <w:bottom w:w="60" w:type="dxa"/>
              <w:right w:w="100" w:type="dxa"/>
            </w:tcMar>
          </w:tcPr>
          <w:p w14:paraId="3873EC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corporativo de planificación de recursos de Laboratorios Gutis. Es el origen de la información maestra de pedidos de compra y el sistema en el que hoy se registran la orden de compra y la recepción logística.</w:t>
            </w:r>
          </w:p>
        </w:tc>
        <w:tc>
          <w:tcPr>
            <w:tcW w:w="4260" w:type="dxa"/>
            <w:tcMar>
              <w:top w:w="60" w:type="dxa"/>
              <w:left w:w="100" w:type="dxa"/>
              <w:bottom w:w="60" w:type="dxa"/>
              <w:right w:w="100" w:type="dxa"/>
            </w:tcMar>
          </w:tcPr>
          <w:p w14:paraId="524FFB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Exponer, mediante el servicio API que desarrollará el Centro de Competencias, las órdenes de compra en tránsito con sus posiciones, materiales, proveedores, fechas comprometidas, vía de transporte y destino. TrackIn lo consume en modo de sólo lectura.</w:t>
            </w:r>
          </w:p>
        </w:tc>
      </w:tr>
    </w:tbl>
    <w:p w14:paraId="53E18FDD"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 xml:space="preserve">Los roles definidos en el documento técnico-funcional (Visualizador, Compras, Logística y Administrador) quedan cubiertos por los actores aquí descritos, según se validó con el área de Logística. </w:t>
      </w:r>
      <w:r>
        <w:rPr>
          <w:rFonts w:ascii="Times New Roman" w:hAnsi="Times New Roman" w:cs="Times New Roman"/>
          <w:color w:val="auto"/>
        </w:rPr>
        <w:lastRenderedPageBreak/>
        <w:t>La pantalla de visualización permanente en planta se especifica como un modo de presentación del dashboard (RNF-11) y no requiere un perfil de usuario adicional.</w:t>
      </w:r>
    </w:p>
    <w:p w14:paraId="0F58F7B7" w14:textId="77777777" w:rsidR="00CE2DA2" w:rsidRPr="00317AA7" w:rsidRDefault="00D91203">
      <w:pPr>
        <w:pStyle w:val="Ttulo1"/>
        <w:pageBreakBefore/>
        <w:rPr>
          <w:rFonts w:ascii="Times New Roman" w:hAnsi="Times New Roman" w:cs="Times New Roman"/>
          <w:color w:val="auto"/>
        </w:rPr>
      </w:pPr>
      <w:bookmarkStart w:id="15" w:name="_Toc237262839"/>
      <w:r>
        <w:rPr>
          <w:rFonts w:ascii="Times New Roman" w:hAnsi="Times New Roman" w:cs="Times New Roman"/>
          <w:color w:val="auto"/>
        </w:rPr>
        <w:lastRenderedPageBreak/>
        <w:t>4. Requerimientos funcionales</w:t>
      </w:r>
      <w:bookmarkEnd w:id="15"/>
    </w:p>
    <w:p w14:paraId="6323E691"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requerimientos se agrupan en siete categorías funcionales. Cada requerimiento se identifica con el prefijo RF y un número correlativo, y se asocia a uno de los cuatro objetivos específicos del anteproyecto, según la siguiente correspondencia: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CE2DA2" w:rsidRPr="00317AA7" w14:paraId="3C1379D1" w14:textId="77777777">
        <w:trPr>
          <w:tblHeader/>
        </w:trPr>
        <w:tc>
          <w:tcPr>
            <w:tcW w:w="900" w:type="dxa"/>
            <w:shd w:val="clear" w:color="auto" w:fill="D9E2F3"/>
            <w:tcMar>
              <w:top w:w="60" w:type="dxa"/>
              <w:left w:w="100" w:type="dxa"/>
              <w:bottom w:w="60" w:type="dxa"/>
              <w:right w:w="100" w:type="dxa"/>
            </w:tcMar>
          </w:tcPr>
          <w:p w14:paraId="735146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Código</w:t>
            </w:r>
          </w:p>
        </w:tc>
        <w:tc>
          <w:tcPr>
            <w:tcW w:w="8460" w:type="dxa"/>
            <w:shd w:val="clear" w:color="auto" w:fill="D9E2F3"/>
            <w:tcMar>
              <w:top w:w="60" w:type="dxa"/>
              <w:left w:w="100" w:type="dxa"/>
              <w:bottom w:w="60" w:type="dxa"/>
              <w:right w:w="100" w:type="dxa"/>
            </w:tcMar>
          </w:tcPr>
          <w:p w14:paraId="100F754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r>
      <w:tr w:rsidR="00CE2DA2" w:rsidRPr="00317AA7" w14:paraId="7F13D21C" w14:textId="77777777">
        <w:tc>
          <w:tcPr>
            <w:tcW w:w="900" w:type="dxa"/>
            <w:tcMar>
              <w:top w:w="60" w:type="dxa"/>
              <w:left w:w="100" w:type="dxa"/>
              <w:bottom w:w="60" w:type="dxa"/>
              <w:right w:w="100" w:type="dxa"/>
            </w:tcMar>
          </w:tcPr>
          <w:p w14:paraId="523509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OE1</w:t>
            </w:r>
          </w:p>
        </w:tc>
        <w:tc>
          <w:tcPr>
            <w:tcW w:w="8460" w:type="dxa"/>
            <w:tcMar>
              <w:top w:w="60" w:type="dxa"/>
              <w:left w:w="100" w:type="dxa"/>
              <w:bottom w:w="60" w:type="dxa"/>
              <w:right w:w="100" w:type="dxa"/>
            </w:tcMar>
          </w:tcPr>
          <w:p w14:paraId="57CA185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Analizar los requerimientos funcionales y no funcionales, diseñando el modelo de datos, la arquitectura y los prototipos de interfaz.</w:t>
            </w:r>
          </w:p>
        </w:tc>
      </w:tr>
      <w:tr w:rsidR="00CE2DA2" w:rsidRPr="00317AA7" w14:paraId="440063DD" w14:textId="77777777">
        <w:tc>
          <w:tcPr>
            <w:tcW w:w="900" w:type="dxa"/>
            <w:tcMar>
              <w:top w:w="60" w:type="dxa"/>
              <w:left w:w="100" w:type="dxa"/>
              <w:bottom w:w="60" w:type="dxa"/>
              <w:right w:w="100" w:type="dxa"/>
            </w:tcMar>
          </w:tcPr>
          <w:p w14:paraId="3670719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c>
          <w:tcPr>
            <w:tcW w:w="8460" w:type="dxa"/>
            <w:tcMar>
              <w:top w:w="60" w:type="dxa"/>
              <w:left w:w="100" w:type="dxa"/>
              <w:bottom w:w="60" w:type="dxa"/>
              <w:right w:w="100" w:type="dxa"/>
            </w:tcMar>
          </w:tcPr>
          <w:p w14:paraId="12C253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Desarrollar el módulo de backend con consumo de APIs de rastreo marítimo y aéreo, cálculo de estados logísticos y servicios REST.</w:t>
            </w:r>
          </w:p>
        </w:tc>
      </w:tr>
      <w:tr w:rsidR="00CE2DA2" w:rsidRPr="00317AA7" w14:paraId="1530CEB9" w14:textId="77777777">
        <w:tc>
          <w:tcPr>
            <w:tcW w:w="900" w:type="dxa"/>
            <w:tcMar>
              <w:top w:w="60" w:type="dxa"/>
              <w:left w:w="100" w:type="dxa"/>
              <w:bottom w:w="60" w:type="dxa"/>
              <w:right w:w="100" w:type="dxa"/>
            </w:tcMar>
          </w:tcPr>
          <w:p w14:paraId="5E03F62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c>
          <w:tcPr>
            <w:tcW w:w="8460" w:type="dxa"/>
            <w:tcMar>
              <w:top w:w="60" w:type="dxa"/>
              <w:left w:w="100" w:type="dxa"/>
              <w:bottom w:w="60" w:type="dxa"/>
              <w:right w:w="100" w:type="dxa"/>
            </w:tcMar>
          </w:tcPr>
          <w:p w14:paraId="5907A4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Desarrollar el frontend del dashboard web con grilla, mapas interactivos, indicadores KPI y sistema de filtros.</w:t>
            </w:r>
          </w:p>
        </w:tc>
      </w:tr>
      <w:tr w:rsidR="00CE2DA2" w:rsidRPr="00317AA7" w14:paraId="07E866D7" w14:textId="77777777">
        <w:tc>
          <w:tcPr>
            <w:tcW w:w="900" w:type="dxa"/>
            <w:tcMar>
              <w:top w:w="60" w:type="dxa"/>
              <w:left w:w="100" w:type="dxa"/>
              <w:bottom w:w="60" w:type="dxa"/>
              <w:right w:w="100" w:type="dxa"/>
            </w:tcMar>
          </w:tcPr>
          <w:p w14:paraId="0C775A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c>
          <w:tcPr>
            <w:tcW w:w="8460" w:type="dxa"/>
            <w:tcMar>
              <w:top w:w="60" w:type="dxa"/>
              <w:left w:w="100" w:type="dxa"/>
              <w:bottom w:w="60" w:type="dxa"/>
              <w:right w:w="100" w:type="dxa"/>
            </w:tcMar>
          </w:tcPr>
          <w:p w14:paraId="59CF7C8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Implementar la capa de persistencia en PostgreSQL con PostGIS y entregar la documentación técnica.</w:t>
            </w:r>
          </w:p>
        </w:tc>
      </w:tr>
    </w:tbl>
    <w:p w14:paraId="79BDF0E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prioridad se expresa en tres niveles. Alta corresponde a un requerimiento sin el cual el sistema no cumple su propósito y que debe estar presente en la demostración funcional. Media corresponde a un requerimiento que aporta valor sustantivo pero cuya ausencia no invalida el prototipo. Baja corresponde a un requerimiento deseable, candidato a posponerse si el cronograma se comprime.</w:t>
      </w:r>
    </w:p>
    <w:p w14:paraId="06CF29CE" w14:textId="77777777" w:rsidR="00CE2DA2" w:rsidRPr="00317AA7" w:rsidRDefault="00D91203">
      <w:pPr>
        <w:pStyle w:val="Ttulo2"/>
        <w:rPr>
          <w:rFonts w:ascii="Times New Roman" w:hAnsi="Times New Roman" w:cs="Times New Roman"/>
          <w:color w:val="auto"/>
        </w:rPr>
      </w:pPr>
      <w:bookmarkStart w:id="16" w:name="_Toc237262840"/>
      <w:r>
        <w:rPr>
          <w:rFonts w:ascii="Times New Roman" w:hAnsi="Times New Roman" w:cs="Times New Roman"/>
          <w:color w:val="auto"/>
        </w:rPr>
        <w:t>4.1 Gestión de pedidos en tránsito</w:t>
      </w:r>
      <w:bookmarkEnd w:id="16"/>
    </w:p>
    <w:p w14:paraId="548388B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RF-01: Sincronización de pedidos desde SAP S/4HANA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60DBF34" w14:textId="77777777">
        <w:tc>
          <w:tcPr>
            <w:tcW w:w="2400" w:type="dxa"/>
            <w:shd w:val="clear" w:color="auto" w:fill="F2F2F2"/>
            <w:tcMar>
              <w:top w:w="60" w:type="dxa"/>
              <w:left w:w="100" w:type="dxa"/>
              <w:bottom w:w="60" w:type="dxa"/>
              <w:right w:w="100" w:type="dxa"/>
            </w:tcMar>
          </w:tcPr>
          <w:p w14:paraId="551FEB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4A341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obtener los pedidos de compra en tránsito desde SAP S/4HANA invocando el servicio API que expone el Centro de Competencias, y sincronizarlos con su base de datos local. Por cada pedido se registrarán, como mínimo, el número de orden de compra, la posición de la orden, el material, el proveedor, la fecha de entrega comprometida, la vía de transporte y el destino. La sincronización debe poder ejecutarse de forma programada y también a demanda del usuario.</w:t>
            </w:r>
          </w:p>
        </w:tc>
      </w:tr>
      <w:tr w:rsidR="00CE2DA2" w:rsidRPr="00317AA7" w14:paraId="04F8D2E5" w14:textId="77777777">
        <w:tc>
          <w:tcPr>
            <w:tcW w:w="2400" w:type="dxa"/>
            <w:shd w:val="clear" w:color="auto" w:fill="F2F2F2"/>
            <w:tcMar>
              <w:top w:w="60" w:type="dxa"/>
              <w:left w:w="100" w:type="dxa"/>
              <w:bottom w:w="60" w:type="dxa"/>
              <w:right w:w="100" w:type="dxa"/>
            </w:tcMar>
          </w:tcPr>
          <w:p w14:paraId="186D149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BBCCC5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Usuario de Compras, Usuario de Logística</w:t>
            </w:r>
          </w:p>
        </w:tc>
      </w:tr>
      <w:tr w:rsidR="00CE2DA2" w:rsidRPr="00317AA7" w14:paraId="6CC86508" w14:textId="77777777">
        <w:tc>
          <w:tcPr>
            <w:tcW w:w="2400" w:type="dxa"/>
            <w:shd w:val="clear" w:color="auto" w:fill="F2F2F2"/>
            <w:tcMar>
              <w:top w:w="60" w:type="dxa"/>
              <w:left w:w="100" w:type="dxa"/>
              <w:bottom w:w="60" w:type="dxa"/>
              <w:right w:w="100" w:type="dxa"/>
            </w:tcMar>
          </w:tcPr>
          <w:p w14:paraId="58BF5D2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0648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servicio API de SAP está disponible y el sistema cuenta con credenciales válidas para invocarlo.</w:t>
            </w:r>
          </w:p>
        </w:tc>
      </w:tr>
      <w:tr w:rsidR="00CE2DA2" w:rsidRPr="00317AA7" w14:paraId="7C92AE20" w14:textId="77777777">
        <w:tc>
          <w:tcPr>
            <w:tcW w:w="2400" w:type="dxa"/>
            <w:shd w:val="clear" w:color="auto" w:fill="F2F2F2"/>
            <w:tcMar>
              <w:top w:w="60" w:type="dxa"/>
              <w:left w:w="100" w:type="dxa"/>
              <w:bottom w:w="60" w:type="dxa"/>
              <w:right w:w="100" w:type="dxa"/>
            </w:tcMar>
          </w:tcPr>
          <w:p w14:paraId="5ED8D41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F4CB3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Los pedidos quedan persistidos en la tabla de pedidos en tránsito. Los pedidos ya existentes se actualizan identificándolos por orden de compra y posición; los nuevos se insertan. El sistema informa el número de registros recibidos, insertados, actualizados y rechazados.</w:t>
            </w:r>
          </w:p>
        </w:tc>
      </w:tr>
      <w:tr w:rsidR="00CE2DA2" w:rsidRPr="00317AA7" w14:paraId="1BDB7C31" w14:textId="77777777">
        <w:tc>
          <w:tcPr>
            <w:tcW w:w="2400" w:type="dxa"/>
            <w:shd w:val="clear" w:color="auto" w:fill="F2F2F2"/>
            <w:tcMar>
              <w:top w:w="60" w:type="dxa"/>
              <w:left w:w="100" w:type="dxa"/>
              <w:bottom w:w="60" w:type="dxa"/>
              <w:right w:w="100" w:type="dxa"/>
            </w:tcMar>
          </w:tcPr>
          <w:p w14:paraId="222EEE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D8614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73B1960" w14:textId="77777777">
        <w:tc>
          <w:tcPr>
            <w:tcW w:w="2400" w:type="dxa"/>
            <w:shd w:val="clear" w:color="auto" w:fill="F2F2F2"/>
            <w:tcMar>
              <w:top w:w="60" w:type="dxa"/>
              <w:left w:w="100" w:type="dxa"/>
              <w:bottom w:w="60" w:type="dxa"/>
              <w:right w:w="100" w:type="dxa"/>
            </w:tcMar>
          </w:tcPr>
          <w:p w14:paraId="4E381A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96BCA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514931B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RF-02: Validación de los datos recibidos de SAP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1FE0599" w14:textId="77777777">
        <w:tc>
          <w:tcPr>
            <w:tcW w:w="2400" w:type="dxa"/>
            <w:shd w:val="clear" w:color="auto" w:fill="F2F2F2"/>
            <w:tcMar>
              <w:top w:w="60" w:type="dxa"/>
              <w:left w:w="100" w:type="dxa"/>
              <w:bottom w:w="60" w:type="dxa"/>
              <w:right w:w="100" w:type="dxa"/>
            </w:tcMar>
          </w:tcPr>
          <w:p w14:paraId="0005426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4D031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El sistema debe validar la estructura y el contenido de la respuesta del servicio antes de persistir dato alguno, verificando la presencia de los campos obligatorios, el tipo </w:t>
            </w:r>
            <w:r>
              <w:rPr>
                <w:rFonts w:ascii="Times New Roman" w:hAnsi="Times New Roman" w:cs="Times New Roman"/>
                <w:color w:val="auto"/>
                <w:sz w:val="20"/>
                <w:szCs w:val="20"/>
              </w:rPr>
              <w:lastRenderedPageBreak/>
              <w:t>de dato de cada uno y la coherencia de los valores de dominio, como la vía de transporte. Los registros inválidos deben rechazarse individualmente sin abortar la sincronización completa.</w:t>
            </w:r>
          </w:p>
        </w:tc>
      </w:tr>
      <w:tr w:rsidR="00CE2DA2" w:rsidRPr="00317AA7" w14:paraId="5BB9B6EF" w14:textId="77777777">
        <w:tc>
          <w:tcPr>
            <w:tcW w:w="2400" w:type="dxa"/>
            <w:shd w:val="clear" w:color="auto" w:fill="F2F2F2"/>
            <w:tcMar>
              <w:top w:w="60" w:type="dxa"/>
              <w:left w:w="100" w:type="dxa"/>
              <w:bottom w:w="60" w:type="dxa"/>
              <w:right w:w="100" w:type="dxa"/>
            </w:tcMar>
          </w:tcPr>
          <w:p w14:paraId="2929796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37232E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4D52DCB" w14:textId="77777777">
        <w:tc>
          <w:tcPr>
            <w:tcW w:w="2400" w:type="dxa"/>
            <w:shd w:val="clear" w:color="auto" w:fill="F2F2F2"/>
            <w:tcMar>
              <w:top w:w="60" w:type="dxa"/>
              <w:left w:w="100" w:type="dxa"/>
              <w:bottom w:w="60" w:type="dxa"/>
              <w:right w:w="100" w:type="dxa"/>
            </w:tcMar>
          </w:tcPr>
          <w:p w14:paraId="7EABE1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300E8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ha recibido una respuesta del servicio API de SAP (RF-01).</w:t>
            </w:r>
          </w:p>
        </w:tc>
      </w:tr>
      <w:tr w:rsidR="00CE2DA2" w:rsidRPr="00317AA7" w14:paraId="186B7040" w14:textId="77777777">
        <w:tc>
          <w:tcPr>
            <w:tcW w:w="2400" w:type="dxa"/>
            <w:shd w:val="clear" w:color="auto" w:fill="F2F2F2"/>
            <w:tcMar>
              <w:top w:w="60" w:type="dxa"/>
              <w:left w:w="100" w:type="dxa"/>
              <w:bottom w:w="60" w:type="dxa"/>
              <w:right w:w="100" w:type="dxa"/>
            </w:tcMar>
          </w:tcPr>
          <w:p w14:paraId="314ACAB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D4FC5F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registra un informe de validación que identifica cada registro rechazado con su clave de origen y el motivo del rechazo. Los registros válidos se persisten.</w:t>
            </w:r>
          </w:p>
        </w:tc>
      </w:tr>
      <w:tr w:rsidR="00CE2DA2" w:rsidRPr="00317AA7" w14:paraId="3F22DDC4" w14:textId="77777777">
        <w:tc>
          <w:tcPr>
            <w:tcW w:w="2400" w:type="dxa"/>
            <w:shd w:val="clear" w:color="auto" w:fill="F2F2F2"/>
            <w:tcMar>
              <w:top w:w="60" w:type="dxa"/>
              <w:left w:w="100" w:type="dxa"/>
              <w:bottom w:w="60" w:type="dxa"/>
              <w:right w:w="100" w:type="dxa"/>
            </w:tcMar>
          </w:tcPr>
          <w:p w14:paraId="6CBE0BF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51DDA57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3DA9C7AF" w14:textId="77777777">
        <w:tc>
          <w:tcPr>
            <w:tcW w:w="2400" w:type="dxa"/>
            <w:shd w:val="clear" w:color="auto" w:fill="F2F2F2"/>
            <w:tcMar>
              <w:top w:w="60" w:type="dxa"/>
              <w:left w:w="100" w:type="dxa"/>
              <w:bottom w:w="60" w:type="dxa"/>
              <w:right w:w="100" w:type="dxa"/>
            </w:tcMar>
          </w:tcPr>
          <w:p w14:paraId="37A27F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01055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55E47F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RF-03: Asociación de identificador de rastreo externo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6B7E6EB" w14:textId="77777777">
        <w:tc>
          <w:tcPr>
            <w:tcW w:w="2400" w:type="dxa"/>
            <w:shd w:val="clear" w:color="auto" w:fill="F2F2F2"/>
            <w:tcMar>
              <w:top w:w="60" w:type="dxa"/>
              <w:left w:w="100" w:type="dxa"/>
              <w:bottom w:w="60" w:type="dxa"/>
              <w:right w:w="100" w:type="dxa"/>
            </w:tcMar>
          </w:tcPr>
          <w:p w14:paraId="7CFA80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132D8E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asociar a cada pedido un identificador de rastreo externo, indicando su tipo (MMSI, IMO, nombre de buque, número de vuelo, AWB, contenedor o booking) y su valor. Un pedido sin identificador asociado permanece en estado Sin tracking.</w:t>
            </w:r>
          </w:p>
        </w:tc>
      </w:tr>
      <w:tr w:rsidR="00CE2DA2" w:rsidRPr="00317AA7" w14:paraId="5ACD8276" w14:textId="77777777">
        <w:tc>
          <w:tcPr>
            <w:tcW w:w="2400" w:type="dxa"/>
            <w:shd w:val="clear" w:color="auto" w:fill="F2F2F2"/>
            <w:tcMar>
              <w:top w:w="60" w:type="dxa"/>
              <w:left w:w="100" w:type="dxa"/>
              <w:bottom w:w="60" w:type="dxa"/>
              <w:right w:w="100" w:type="dxa"/>
            </w:tcMar>
          </w:tcPr>
          <w:p w14:paraId="5822866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F8B37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32D07FF7" w14:textId="77777777">
        <w:tc>
          <w:tcPr>
            <w:tcW w:w="2400" w:type="dxa"/>
            <w:shd w:val="clear" w:color="auto" w:fill="F2F2F2"/>
            <w:tcMar>
              <w:top w:w="60" w:type="dxa"/>
              <w:left w:w="100" w:type="dxa"/>
              <w:bottom w:w="60" w:type="dxa"/>
              <w:right w:w="100" w:type="dxa"/>
            </w:tcMar>
          </w:tcPr>
          <w:p w14:paraId="1912D4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2708CA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en el sistema.</w:t>
            </w:r>
          </w:p>
        </w:tc>
      </w:tr>
      <w:tr w:rsidR="00CE2DA2" w:rsidRPr="00317AA7" w14:paraId="7941CE99" w14:textId="77777777">
        <w:tc>
          <w:tcPr>
            <w:tcW w:w="2400" w:type="dxa"/>
            <w:shd w:val="clear" w:color="auto" w:fill="F2F2F2"/>
            <w:tcMar>
              <w:top w:w="60" w:type="dxa"/>
              <w:left w:w="100" w:type="dxa"/>
              <w:bottom w:w="60" w:type="dxa"/>
              <w:right w:w="100" w:type="dxa"/>
            </w:tcMar>
          </w:tcPr>
          <w:p w14:paraId="03CA016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A468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queda habilitado para el rastreo automático si el tipo de identificador es soportado por alguna de las APIs integradas.</w:t>
            </w:r>
          </w:p>
        </w:tc>
      </w:tr>
      <w:tr w:rsidR="00CE2DA2" w:rsidRPr="00317AA7" w14:paraId="2A962442" w14:textId="77777777">
        <w:tc>
          <w:tcPr>
            <w:tcW w:w="2400" w:type="dxa"/>
            <w:shd w:val="clear" w:color="auto" w:fill="F2F2F2"/>
            <w:tcMar>
              <w:top w:w="60" w:type="dxa"/>
              <w:left w:w="100" w:type="dxa"/>
              <w:bottom w:w="60" w:type="dxa"/>
              <w:right w:w="100" w:type="dxa"/>
            </w:tcMar>
          </w:tcPr>
          <w:p w14:paraId="6C9FBD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729D3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36FF9E5" w14:textId="77777777">
        <w:tc>
          <w:tcPr>
            <w:tcW w:w="2400" w:type="dxa"/>
            <w:shd w:val="clear" w:color="auto" w:fill="F2F2F2"/>
            <w:tcMar>
              <w:top w:w="60" w:type="dxa"/>
              <w:left w:w="100" w:type="dxa"/>
              <w:bottom w:w="60" w:type="dxa"/>
              <w:right w:w="100" w:type="dxa"/>
            </w:tcMar>
          </w:tcPr>
          <w:p w14:paraId="5CF9CE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671B6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9D2838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RF-04: Listado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5A74E73" w14:textId="77777777">
        <w:tc>
          <w:tcPr>
            <w:tcW w:w="2400" w:type="dxa"/>
            <w:shd w:val="clear" w:color="auto" w:fill="F2F2F2"/>
            <w:tcMar>
              <w:top w:w="60" w:type="dxa"/>
              <w:left w:w="100" w:type="dxa"/>
              <w:bottom w:w="60" w:type="dxa"/>
              <w:right w:w="100" w:type="dxa"/>
            </w:tcMar>
          </w:tcPr>
          <w:p w14:paraId="1C0DD5B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9CCECD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el conjunto de pedidos en tránsito en una grilla con ordenamiento por columna y paginación, mostrando orden de compra, material, proveedor, vía, destino, ETA, fecha proyectada de disponibilidad, fecha de entrega comprometida y estado calculado.</w:t>
            </w:r>
          </w:p>
        </w:tc>
      </w:tr>
      <w:tr w:rsidR="00CE2DA2" w:rsidRPr="00317AA7" w14:paraId="12079D13" w14:textId="77777777">
        <w:tc>
          <w:tcPr>
            <w:tcW w:w="2400" w:type="dxa"/>
            <w:shd w:val="clear" w:color="auto" w:fill="F2F2F2"/>
            <w:tcMar>
              <w:top w:w="60" w:type="dxa"/>
              <w:left w:w="100" w:type="dxa"/>
              <w:bottom w:w="60" w:type="dxa"/>
              <w:right w:w="100" w:type="dxa"/>
            </w:tcMar>
          </w:tcPr>
          <w:p w14:paraId="1E7950C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F1D4C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32F0DC6" w14:textId="77777777">
        <w:tc>
          <w:tcPr>
            <w:tcW w:w="2400" w:type="dxa"/>
            <w:shd w:val="clear" w:color="auto" w:fill="F2F2F2"/>
            <w:tcMar>
              <w:top w:w="60" w:type="dxa"/>
              <w:left w:w="100" w:type="dxa"/>
              <w:bottom w:w="60" w:type="dxa"/>
              <w:right w:w="100" w:type="dxa"/>
            </w:tcMar>
          </w:tcPr>
          <w:p w14:paraId="49219D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9948E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 en el sistema.</w:t>
            </w:r>
          </w:p>
        </w:tc>
      </w:tr>
      <w:tr w:rsidR="00CE2DA2" w:rsidRPr="00317AA7" w14:paraId="05396753" w14:textId="77777777">
        <w:tc>
          <w:tcPr>
            <w:tcW w:w="2400" w:type="dxa"/>
            <w:shd w:val="clear" w:color="auto" w:fill="F2F2F2"/>
            <w:tcMar>
              <w:top w:w="60" w:type="dxa"/>
              <w:left w:w="100" w:type="dxa"/>
              <w:bottom w:w="60" w:type="dxa"/>
              <w:right w:w="100" w:type="dxa"/>
            </w:tcMar>
          </w:tcPr>
          <w:p w14:paraId="7F30336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2FF0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conjunto de pedidos conforme a los filtros activos.</w:t>
            </w:r>
          </w:p>
        </w:tc>
      </w:tr>
      <w:tr w:rsidR="00CE2DA2" w:rsidRPr="00317AA7" w14:paraId="322C0DE7" w14:textId="77777777">
        <w:tc>
          <w:tcPr>
            <w:tcW w:w="2400" w:type="dxa"/>
            <w:shd w:val="clear" w:color="auto" w:fill="F2F2F2"/>
            <w:tcMar>
              <w:top w:w="60" w:type="dxa"/>
              <w:left w:w="100" w:type="dxa"/>
              <w:bottom w:w="60" w:type="dxa"/>
              <w:right w:w="100" w:type="dxa"/>
            </w:tcMar>
          </w:tcPr>
          <w:p w14:paraId="063D7E7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028A4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764AF70" w14:textId="77777777">
        <w:tc>
          <w:tcPr>
            <w:tcW w:w="2400" w:type="dxa"/>
            <w:shd w:val="clear" w:color="auto" w:fill="F2F2F2"/>
            <w:tcMar>
              <w:top w:w="60" w:type="dxa"/>
              <w:left w:w="100" w:type="dxa"/>
              <w:bottom w:w="60" w:type="dxa"/>
              <w:right w:w="100" w:type="dxa"/>
            </w:tcMar>
          </w:tcPr>
          <w:p w14:paraId="5F1E20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1E2DD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0CAB0F9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RF-05: Consulta de detalle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4C538A3" w14:textId="77777777">
        <w:tc>
          <w:tcPr>
            <w:tcW w:w="2400" w:type="dxa"/>
            <w:shd w:val="clear" w:color="auto" w:fill="F2F2F2"/>
            <w:tcMar>
              <w:top w:w="60" w:type="dxa"/>
              <w:left w:w="100" w:type="dxa"/>
              <w:bottom w:w="60" w:type="dxa"/>
              <w:right w:w="100" w:type="dxa"/>
            </w:tcMar>
          </w:tcPr>
          <w:p w14:paraId="1982CF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A51F23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acceder al detalle completo de un pedido, incluyendo todos sus datos maestros, su identificador de rastreo, la última posición conocida, la fecha y hora de la última consulta exitosa a la API, y el desglose del cálculo que produjo la fecha proyectada de disponibilidad.</w:t>
            </w:r>
          </w:p>
        </w:tc>
      </w:tr>
      <w:tr w:rsidR="00CE2DA2" w:rsidRPr="00317AA7" w14:paraId="20282447" w14:textId="77777777">
        <w:tc>
          <w:tcPr>
            <w:tcW w:w="2400" w:type="dxa"/>
            <w:shd w:val="clear" w:color="auto" w:fill="F2F2F2"/>
            <w:tcMar>
              <w:top w:w="60" w:type="dxa"/>
              <w:left w:w="100" w:type="dxa"/>
              <w:bottom w:w="60" w:type="dxa"/>
              <w:right w:w="100" w:type="dxa"/>
            </w:tcMar>
          </w:tcPr>
          <w:p w14:paraId="5D1AA23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61CD68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61A770A" w14:textId="77777777">
        <w:tc>
          <w:tcPr>
            <w:tcW w:w="2400" w:type="dxa"/>
            <w:shd w:val="clear" w:color="auto" w:fill="F2F2F2"/>
            <w:tcMar>
              <w:top w:w="60" w:type="dxa"/>
              <w:left w:w="100" w:type="dxa"/>
              <w:bottom w:w="60" w:type="dxa"/>
              <w:right w:w="100" w:type="dxa"/>
            </w:tcMar>
          </w:tcPr>
          <w:p w14:paraId="3F046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83220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en el sistema.</w:t>
            </w:r>
          </w:p>
        </w:tc>
      </w:tr>
      <w:tr w:rsidR="00CE2DA2" w:rsidRPr="00317AA7" w14:paraId="6F184FBC" w14:textId="77777777">
        <w:tc>
          <w:tcPr>
            <w:tcW w:w="2400" w:type="dxa"/>
            <w:shd w:val="clear" w:color="auto" w:fill="F2F2F2"/>
            <w:tcMar>
              <w:top w:w="60" w:type="dxa"/>
              <w:left w:w="100" w:type="dxa"/>
              <w:bottom w:w="60" w:type="dxa"/>
              <w:right w:w="100" w:type="dxa"/>
            </w:tcMar>
          </w:tcPr>
          <w:p w14:paraId="605577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9C6EA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detalle del pedido y puede navegar a su historial de tracking.</w:t>
            </w:r>
          </w:p>
        </w:tc>
      </w:tr>
      <w:tr w:rsidR="00CE2DA2" w:rsidRPr="00317AA7" w14:paraId="2C46D1B3" w14:textId="77777777">
        <w:tc>
          <w:tcPr>
            <w:tcW w:w="2400" w:type="dxa"/>
            <w:shd w:val="clear" w:color="auto" w:fill="F2F2F2"/>
            <w:tcMar>
              <w:top w:w="60" w:type="dxa"/>
              <w:left w:w="100" w:type="dxa"/>
              <w:bottom w:w="60" w:type="dxa"/>
              <w:right w:w="100" w:type="dxa"/>
            </w:tcMar>
          </w:tcPr>
          <w:p w14:paraId="12B7DA7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2456BD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FF45BC6" w14:textId="77777777">
        <w:tc>
          <w:tcPr>
            <w:tcW w:w="2400" w:type="dxa"/>
            <w:shd w:val="clear" w:color="auto" w:fill="F2F2F2"/>
            <w:tcMar>
              <w:top w:w="60" w:type="dxa"/>
              <w:left w:w="100" w:type="dxa"/>
              <w:bottom w:w="60" w:type="dxa"/>
              <w:right w:w="100" w:type="dxa"/>
            </w:tcMar>
          </w:tcPr>
          <w:p w14:paraId="33E79B8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745E8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4C719166" w14:textId="77777777" w:rsidR="00CE2DA2" w:rsidRPr="00317AA7" w:rsidRDefault="00D91203">
      <w:pPr>
        <w:pStyle w:val="Ttulo2"/>
        <w:rPr>
          <w:rFonts w:ascii="Times New Roman" w:hAnsi="Times New Roman" w:cs="Times New Roman"/>
          <w:color w:val="auto"/>
        </w:rPr>
      </w:pPr>
      <w:bookmarkStart w:id="17" w:name="_Toc237262841"/>
      <w:r>
        <w:rPr>
          <w:rFonts w:ascii="Times New Roman" w:hAnsi="Times New Roman" w:cs="Times New Roman"/>
          <w:color w:val="auto"/>
        </w:rPr>
        <w:t>4.2 Integración con APIs externas</w:t>
      </w:r>
      <w:bookmarkEnd w:id="17"/>
    </w:p>
    <w:p w14:paraId="3BE3C10F"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RF-06: Consumo de la API marítima 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4C42AEE" w14:textId="77777777">
        <w:tc>
          <w:tcPr>
            <w:tcW w:w="2400" w:type="dxa"/>
            <w:shd w:val="clear" w:color="auto" w:fill="F2F2F2"/>
            <w:tcMar>
              <w:top w:w="60" w:type="dxa"/>
              <w:left w:w="100" w:type="dxa"/>
              <w:bottom w:w="60" w:type="dxa"/>
              <w:right w:w="100" w:type="dxa"/>
            </w:tcMar>
          </w:tcPr>
          <w:p w14:paraId="2B722F7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693F2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establecer y mantener una conexión WebSocket con el servicio AISStream para recibir reportes de posición de embarcaciones, filtrando por las naves asociadas a pedidos activos o por área geográfica de interés. De cada reporte debe extraer MMSI, latitud, longitud, velocidad sobre tierra y rumbo.</w:t>
            </w:r>
          </w:p>
        </w:tc>
      </w:tr>
      <w:tr w:rsidR="00CE2DA2" w:rsidRPr="00317AA7" w14:paraId="69E8C706" w14:textId="77777777">
        <w:tc>
          <w:tcPr>
            <w:tcW w:w="2400" w:type="dxa"/>
            <w:shd w:val="clear" w:color="auto" w:fill="F2F2F2"/>
            <w:tcMar>
              <w:top w:w="60" w:type="dxa"/>
              <w:left w:w="100" w:type="dxa"/>
              <w:bottom w:w="60" w:type="dxa"/>
              <w:right w:w="100" w:type="dxa"/>
            </w:tcMar>
          </w:tcPr>
          <w:p w14:paraId="74AF98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F7DD8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AISStream</w:t>
            </w:r>
          </w:p>
        </w:tc>
      </w:tr>
      <w:tr w:rsidR="00CE2DA2" w:rsidRPr="00317AA7" w14:paraId="4B61A95C" w14:textId="77777777">
        <w:tc>
          <w:tcPr>
            <w:tcW w:w="2400" w:type="dxa"/>
            <w:shd w:val="clear" w:color="auto" w:fill="F2F2F2"/>
            <w:tcMar>
              <w:top w:w="60" w:type="dxa"/>
              <w:left w:w="100" w:type="dxa"/>
              <w:bottom w:w="60" w:type="dxa"/>
              <w:right w:w="100" w:type="dxa"/>
            </w:tcMar>
          </w:tcPr>
          <w:p w14:paraId="222827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97CFF7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una clave de API válida configurada. Existe al menos un pedido marítimo con identificador de nave asociado.</w:t>
            </w:r>
          </w:p>
        </w:tc>
      </w:tr>
      <w:tr w:rsidR="00CE2DA2" w:rsidRPr="00317AA7" w14:paraId="5650E253" w14:textId="77777777">
        <w:tc>
          <w:tcPr>
            <w:tcW w:w="2400" w:type="dxa"/>
            <w:shd w:val="clear" w:color="auto" w:fill="F2F2F2"/>
            <w:tcMar>
              <w:top w:w="60" w:type="dxa"/>
              <w:left w:w="100" w:type="dxa"/>
              <w:bottom w:w="60" w:type="dxa"/>
              <w:right w:w="100" w:type="dxa"/>
            </w:tcMar>
          </w:tcPr>
          <w:p w14:paraId="7CAB17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AB329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posición actual del pedido queda actualizada y se agrega un registro al historial de tracking.</w:t>
            </w:r>
          </w:p>
        </w:tc>
      </w:tr>
      <w:tr w:rsidR="00CE2DA2" w:rsidRPr="00317AA7" w14:paraId="3A63C06D" w14:textId="77777777">
        <w:tc>
          <w:tcPr>
            <w:tcW w:w="2400" w:type="dxa"/>
            <w:shd w:val="clear" w:color="auto" w:fill="F2F2F2"/>
            <w:tcMar>
              <w:top w:w="60" w:type="dxa"/>
              <w:left w:w="100" w:type="dxa"/>
              <w:bottom w:w="60" w:type="dxa"/>
              <w:right w:w="100" w:type="dxa"/>
            </w:tcMar>
          </w:tcPr>
          <w:p w14:paraId="7807660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EE175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45B6DD5" w14:textId="77777777">
        <w:tc>
          <w:tcPr>
            <w:tcW w:w="2400" w:type="dxa"/>
            <w:shd w:val="clear" w:color="auto" w:fill="F2F2F2"/>
            <w:tcMar>
              <w:top w:w="60" w:type="dxa"/>
              <w:left w:w="100" w:type="dxa"/>
              <w:bottom w:w="60" w:type="dxa"/>
              <w:right w:w="100" w:type="dxa"/>
            </w:tcMar>
          </w:tcPr>
          <w:p w14:paraId="1FD9F4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79543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42914797"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RF-07: Consumo de la API aérea ADS-B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8C13576" w14:textId="77777777">
        <w:tc>
          <w:tcPr>
            <w:tcW w:w="2400" w:type="dxa"/>
            <w:shd w:val="clear" w:color="auto" w:fill="F2F2F2"/>
            <w:tcMar>
              <w:top w:w="60" w:type="dxa"/>
              <w:left w:w="100" w:type="dxa"/>
              <w:bottom w:w="60" w:type="dxa"/>
              <w:right w:w="100" w:type="dxa"/>
            </w:tcMar>
          </w:tcPr>
          <w:p w14:paraId="5A74431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93DF3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consultar la API REST de OpenSky Network para obtener el estado y la posición de las aeronaves asociadas a pedidos con vía de transporte aérea, extrayendo latitud, longitud, altitud, velocidad y rumbo.</w:t>
            </w:r>
          </w:p>
        </w:tc>
      </w:tr>
      <w:tr w:rsidR="00CE2DA2" w:rsidRPr="00317AA7" w14:paraId="29300D12" w14:textId="77777777">
        <w:tc>
          <w:tcPr>
            <w:tcW w:w="2400" w:type="dxa"/>
            <w:shd w:val="clear" w:color="auto" w:fill="F2F2F2"/>
            <w:tcMar>
              <w:top w:w="60" w:type="dxa"/>
              <w:left w:w="100" w:type="dxa"/>
              <w:bottom w:w="60" w:type="dxa"/>
              <w:right w:w="100" w:type="dxa"/>
            </w:tcMar>
          </w:tcPr>
          <w:p w14:paraId="472CB0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88E61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OpenSky Network</w:t>
            </w:r>
          </w:p>
        </w:tc>
      </w:tr>
      <w:tr w:rsidR="00CE2DA2" w:rsidRPr="00317AA7" w14:paraId="60275E72" w14:textId="77777777">
        <w:tc>
          <w:tcPr>
            <w:tcW w:w="2400" w:type="dxa"/>
            <w:shd w:val="clear" w:color="auto" w:fill="F2F2F2"/>
            <w:tcMar>
              <w:top w:w="60" w:type="dxa"/>
              <w:left w:w="100" w:type="dxa"/>
              <w:bottom w:w="60" w:type="dxa"/>
              <w:right w:w="100" w:type="dxa"/>
            </w:tcMar>
          </w:tcPr>
          <w:p w14:paraId="337231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ED72E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Existen credenciales configuradas. Existe al menos un pedido aéreo con identificador de vuelo asociado.</w:t>
            </w:r>
          </w:p>
        </w:tc>
      </w:tr>
      <w:tr w:rsidR="00CE2DA2" w:rsidRPr="00317AA7" w14:paraId="1E931DFA" w14:textId="77777777">
        <w:tc>
          <w:tcPr>
            <w:tcW w:w="2400" w:type="dxa"/>
            <w:shd w:val="clear" w:color="auto" w:fill="F2F2F2"/>
            <w:tcMar>
              <w:top w:w="60" w:type="dxa"/>
              <w:left w:w="100" w:type="dxa"/>
              <w:bottom w:w="60" w:type="dxa"/>
              <w:right w:w="100" w:type="dxa"/>
            </w:tcMar>
          </w:tcPr>
          <w:p w14:paraId="615F17F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826AB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posición actual del pedido queda actualizada y se agrega un registro al historial de tracking.</w:t>
            </w:r>
          </w:p>
        </w:tc>
      </w:tr>
      <w:tr w:rsidR="00CE2DA2" w:rsidRPr="00317AA7" w14:paraId="778DC6CF" w14:textId="77777777">
        <w:tc>
          <w:tcPr>
            <w:tcW w:w="2400" w:type="dxa"/>
            <w:shd w:val="clear" w:color="auto" w:fill="F2F2F2"/>
            <w:tcMar>
              <w:top w:w="60" w:type="dxa"/>
              <w:left w:w="100" w:type="dxa"/>
              <w:bottom w:w="60" w:type="dxa"/>
              <w:right w:w="100" w:type="dxa"/>
            </w:tcMar>
          </w:tcPr>
          <w:p w14:paraId="0CF1B52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FC019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4722AE6" w14:textId="77777777">
        <w:tc>
          <w:tcPr>
            <w:tcW w:w="2400" w:type="dxa"/>
            <w:shd w:val="clear" w:color="auto" w:fill="F2F2F2"/>
            <w:tcMar>
              <w:top w:w="60" w:type="dxa"/>
              <w:left w:w="100" w:type="dxa"/>
              <w:bottom w:w="60" w:type="dxa"/>
              <w:right w:w="100" w:type="dxa"/>
            </w:tcMar>
          </w:tcPr>
          <w:p w14:paraId="1510F1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46004C0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AE4786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RF-08: Programación de consultas periódicas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4BEFB51" w14:textId="77777777">
        <w:tc>
          <w:tcPr>
            <w:tcW w:w="2400" w:type="dxa"/>
            <w:shd w:val="clear" w:color="auto" w:fill="F2F2F2"/>
            <w:tcMar>
              <w:top w:w="60" w:type="dxa"/>
              <w:left w:w="100" w:type="dxa"/>
              <w:bottom w:w="60" w:type="dxa"/>
              <w:right w:w="100" w:type="dxa"/>
            </w:tcMar>
          </w:tcPr>
          <w:p w14:paraId="29EC89E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273EF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El sistema debe ejecutar las consultas a las APIs externas de forma periódica y desatendida, con frecuencias diferenciadas por vía de transporte. El documento técnico-funcional sugiere entre 30 y 60 minutos para el rastreo marítimo, y entre 5 y </w:t>
            </w:r>
            <w:r>
              <w:rPr>
                <w:rFonts w:ascii="Times New Roman" w:hAnsi="Times New Roman" w:cs="Times New Roman"/>
                <w:color w:val="auto"/>
                <w:sz w:val="20"/>
                <w:szCs w:val="20"/>
              </w:rPr>
              <w:lastRenderedPageBreak/>
              <w:t>10 minutos para el aéreo. Las frecuencias deben ser parametrizables sin modificar el código fuente.</w:t>
            </w:r>
          </w:p>
        </w:tc>
      </w:tr>
      <w:tr w:rsidR="00CE2DA2" w:rsidRPr="00317AA7" w14:paraId="4800C806" w14:textId="77777777">
        <w:tc>
          <w:tcPr>
            <w:tcW w:w="2400" w:type="dxa"/>
            <w:shd w:val="clear" w:color="auto" w:fill="F2F2F2"/>
            <w:tcMar>
              <w:top w:w="60" w:type="dxa"/>
              <w:left w:w="100" w:type="dxa"/>
              <w:bottom w:w="60" w:type="dxa"/>
              <w:right w:w="100" w:type="dxa"/>
            </w:tcMar>
          </w:tcPr>
          <w:p w14:paraId="0DBC3E4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09ACD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F299980" w14:textId="77777777">
        <w:tc>
          <w:tcPr>
            <w:tcW w:w="2400" w:type="dxa"/>
            <w:shd w:val="clear" w:color="auto" w:fill="F2F2F2"/>
            <w:tcMar>
              <w:top w:w="60" w:type="dxa"/>
              <w:left w:w="100" w:type="dxa"/>
              <w:bottom w:w="60" w:type="dxa"/>
              <w:right w:w="100" w:type="dxa"/>
            </w:tcMar>
          </w:tcPr>
          <w:p w14:paraId="610669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E0DB6C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servicio de tareas programadas está activo.</w:t>
            </w:r>
          </w:p>
        </w:tc>
      </w:tr>
      <w:tr w:rsidR="00CE2DA2" w:rsidRPr="00317AA7" w14:paraId="4D7A4A9D" w14:textId="77777777">
        <w:tc>
          <w:tcPr>
            <w:tcW w:w="2400" w:type="dxa"/>
            <w:shd w:val="clear" w:color="auto" w:fill="F2F2F2"/>
            <w:tcMar>
              <w:top w:w="60" w:type="dxa"/>
              <w:left w:w="100" w:type="dxa"/>
              <w:bottom w:w="60" w:type="dxa"/>
              <w:right w:w="100" w:type="dxa"/>
            </w:tcMar>
          </w:tcPr>
          <w:p w14:paraId="79F2BFF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0BAE8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Las posiciones de los pedidos activos se refrescan conforme a la periodicidad configurada.</w:t>
            </w:r>
          </w:p>
        </w:tc>
      </w:tr>
      <w:tr w:rsidR="00CE2DA2" w:rsidRPr="00317AA7" w14:paraId="1765D2CA" w14:textId="77777777">
        <w:tc>
          <w:tcPr>
            <w:tcW w:w="2400" w:type="dxa"/>
            <w:shd w:val="clear" w:color="auto" w:fill="F2F2F2"/>
            <w:tcMar>
              <w:top w:w="60" w:type="dxa"/>
              <w:left w:w="100" w:type="dxa"/>
              <w:bottom w:w="60" w:type="dxa"/>
              <w:right w:w="100" w:type="dxa"/>
            </w:tcMar>
          </w:tcPr>
          <w:p w14:paraId="678D4DD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2EF0A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6D186B9" w14:textId="77777777">
        <w:tc>
          <w:tcPr>
            <w:tcW w:w="2400" w:type="dxa"/>
            <w:shd w:val="clear" w:color="auto" w:fill="F2F2F2"/>
            <w:tcMar>
              <w:top w:w="60" w:type="dxa"/>
              <w:left w:w="100" w:type="dxa"/>
              <w:bottom w:w="60" w:type="dxa"/>
              <w:right w:w="100" w:type="dxa"/>
            </w:tcMar>
          </w:tcPr>
          <w:p w14:paraId="3854479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44ADB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F2A26A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RF-09: Gestión de errores y reintentos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8CD5933" w14:textId="77777777">
        <w:tc>
          <w:tcPr>
            <w:tcW w:w="2400" w:type="dxa"/>
            <w:shd w:val="clear" w:color="auto" w:fill="F2F2F2"/>
            <w:tcMar>
              <w:top w:w="60" w:type="dxa"/>
              <w:left w:w="100" w:type="dxa"/>
              <w:bottom w:w="60" w:type="dxa"/>
              <w:right w:w="100" w:type="dxa"/>
            </w:tcMar>
          </w:tcPr>
          <w:p w14:paraId="0F1A688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329E1F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tolerar la indisponibilidad temporal de las APIs externas sin degradar la consulta del dashboard. Ante un fallo debe aplicar una política de reintentos con espera creciente, registrar el error y conservar el último dato válido conocido, señalando su antigüedad al usuario.</w:t>
            </w:r>
          </w:p>
        </w:tc>
      </w:tr>
      <w:tr w:rsidR="00CE2DA2" w:rsidRPr="00317AA7" w14:paraId="1B351329" w14:textId="77777777">
        <w:tc>
          <w:tcPr>
            <w:tcW w:w="2400" w:type="dxa"/>
            <w:shd w:val="clear" w:color="auto" w:fill="F2F2F2"/>
            <w:tcMar>
              <w:top w:w="60" w:type="dxa"/>
              <w:left w:w="100" w:type="dxa"/>
              <w:bottom w:w="60" w:type="dxa"/>
              <w:right w:w="100" w:type="dxa"/>
            </w:tcMar>
          </w:tcPr>
          <w:p w14:paraId="78E3E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B63B5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5AF80085" w14:textId="77777777">
        <w:tc>
          <w:tcPr>
            <w:tcW w:w="2400" w:type="dxa"/>
            <w:shd w:val="clear" w:color="auto" w:fill="F2F2F2"/>
            <w:tcMar>
              <w:top w:w="60" w:type="dxa"/>
              <w:left w:w="100" w:type="dxa"/>
              <w:bottom w:w="60" w:type="dxa"/>
              <w:right w:w="100" w:type="dxa"/>
            </w:tcMar>
          </w:tcPr>
          <w:p w14:paraId="5E2CD49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8E3EC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intentado una consulta a una API externa.</w:t>
            </w:r>
          </w:p>
        </w:tc>
      </w:tr>
      <w:tr w:rsidR="00CE2DA2" w:rsidRPr="00317AA7" w14:paraId="23F0DAA1" w14:textId="77777777">
        <w:tc>
          <w:tcPr>
            <w:tcW w:w="2400" w:type="dxa"/>
            <w:shd w:val="clear" w:color="auto" w:fill="F2F2F2"/>
            <w:tcMar>
              <w:top w:w="60" w:type="dxa"/>
              <w:left w:w="100" w:type="dxa"/>
              <w:bottom w:w="60" w:type="dxa"/>
              <w:right w:w="100" w:type="dxa"/>
            </w:tcMar>
          </w:tcPr>
          <w:p w14:paraId="7738D9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B09D9A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fallo queda registrado. El pedido conserva su última posición válida, marcada con la fecha y hora de esa lectura. El dashboard permanece operativo.</w:t>
            </w:r>
          </w:p>
        </w:tc>
      </w:tr>
      <w:tr w:rsidR="00CE2DA2" w:rsidRPr="00317AA7" w14:paraId="67F8F05C" w14:textId="77777777">
        <w:tc>
          <w:tcPr>
            <w:tcW w:w="2400" w:type="dxa"/>
            <w:shd w:val="clear" w:color="auto" w:fill="F2F2F2"/>
            <w:tcMar>
              <w:top w:w="60" w:type="dxa"/>
              <w:left w:w="100" w:type="dxa"/>
              <w:bottom w:w="60" w:type="dxa"/>
              <w:right w:w="100" w:type="dxa"/>
            </w:tcMar>
          </w:tcPr>
          <w:p w14:paraId="6A0013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00B2E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B57BE2E" w14:textId="77777777">
        <w:tc>
          <w:tcPr>
            <w:tcW w:w="2400" w:type="dxa"/>
            <w:shd w:val="clear" w:color="auto" w:fill="F2F2F2"/>
            <w:tcMar>
              <w:top w:w="60" w:type="dxa"/>
              <w:left w:w="100" w:type="dxa"/>
              <w:bottom w:w="60" w:type="dxa"/>
              <w:right w:w="100" w:type="dxa"/>
            </w:tcMar>
          </w:tcPr>
          <w:p w14:paraId="5429E75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69CE0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6027AA40" w14:textId="77777777" w:rsidR="00CE2DA2" w:rsidRPr="00317AA7" w:rsidRDefault="00D91203">
      <w:pPr>
        <w:pStyle w:val="Ttulo2"/>
        <w:rPr>
          <w:rFonts w:ascii="Times New Roman" w:hAnsi="Times New Roman" w:cs="Times New Roman"/>
          <w:color w:val="auto"/>
        </w:rPr>
      </w:pPr>
      <w:bookmarkStart w:id="18" w:name="_Toc237262842"/>
      <w:r>
        <w:rPr>
          <w:rFonts w:ascii="Times New Roman" w:hAnsi="Times New Roman" w:cs="Times New Roman"/>
          <w:color w:val="auto"/>
        </w:rPr>
        <w:t>4.3 Cálculo automático de estados logísticos</w:t>
      </w:r>
      <w:bookmarkEnd w:id="18"/>
    </w:p>
    <w:p w14:paraId="6CBB344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RF-10: Cálculo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A7EF60A" w14:textId="77777777">
        <w:tc>
          <w:tcPr>
            <w:tcW w:w="2400" w:type="dxa"/>
            <w:shd w:val="clear" w:color="auto" w:fill="F2F2F2"/>
            <w:tcMar>
              <w:top w:w="60" w:type="dxa"/>
              <w:left w:w="100" w:type="dxa"/>
              <w:bottom w:w="60" w:type="dxa"/>
              <w:right w:w="100" w:type="dxa"/>
            </w:tcMar>
          </w:tcPr>
          <w:p w14:paraId="64D1C8F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F17435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calcular, para cada pedido, la fecha proyectada de disponibilidad aplicando la fórmula definida en la regla de negocio RN-01: ETA o ATA del destino, más el lead time maestro del destino, más un ajuste manual opcional.</w:t>
            </w:r>
          </w:p>
        </w:tc>
      </w:tr>
      <w:tr w:rsidR="00CE2DA2" w:rsidRPr="00317AA7" w14:paraId="011E66B5" w14:textId="77777777">
        <w:tc>
          <w:tcPr>
            <w:tcW w:w="2400" w:type="dxa"/>
            <w:shd w:val="clear" w:color="auto" w:fill="F2F2F2"/>
            <w:tcMar>
              <w:top w:w="60" w:type="dxa"/>
              <w:left w:w="100" w:type="dxa"/>
              <w:bottom w:w="60" w:type="dxa"/>
              <w:right w:w="100" w:type="dxa"/>
            </w:tcMar>
          </w:tcPr>
          <w:p w14:paraId="13B18F2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DCDF4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61F51BDB" w14:textId="77777777">
        <w:tc>
          <w:tcPr>
            <w:tcW w:w="2400" w:type="dxa"/>
            <w:shd w:val="clear" w:color="auto" w:fill="F2F2F2"/>
            <w:tcMar>
              <w:top w:w="60" w:type="dxa"/>
              <w:left w:w="100" w:type="dxa"/>
              <w:bottom w:w="60" w:type="dxa"/>
              <w:right w:w="100" w:type="dxa"/>
            </w:tcMar>
          </w:tcPr>
          <w:p w14:paraId="0656CBE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AD82A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ETA o ATA, y su destino existe en el maestro de destinos con lead time definido.</w:t>
            </w:r>
          </w:p>
        </w:tc>
      </w:tr>
      <w:tr w:rsidR="00CE2DA2" w:rsidRPr="00317AA7" w14:paraId="74F6A37D" w14:textId="77777777">
        <w:tc>
          <w:tcPr>
            <w:tcW w:w="2400" w:type="dxa"/>
            <w:shd w:val="clear" w:color="auto" w:fill="F2F2F2"/>
            <w:tcMar>
              <w:top w:w="60" w:type="dxa"/>
              <w:left w:w="100" w:type="dxa"/>
              <w:bottom w:w="60" w:type="dxa"/>
              <w:right w:w="100" w:type="dxa"/>
            </w:tcMar>
          </w:tcPr>
          <w:p w14:paraId="133A7E2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606264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almacena su fecha proyectada de disponibilidad, disponible para el cálculo de estado y para la planificación de producción.</w:t>
            </w:r>
          </w:p>
        </w:tc>
      </w:tr>
      <w:tr w:rsidR="00CE2DA2" w:rsidRPr="00317AA7" w14:paraId="57B4FE7F" w14:textId="77777777">
        <w:tc>
          <w:tcPr>
            <w:tcW w:w="2400" w:type="dxa"/>
            <w:shd w:val="clear" w:color="auto" w:fill="F2F2F2"/>
            <w:tcMar>
              <w:top w:w="60" w:type="dxa"/>
              <w:left w:w="100" w:type="dxa"/>
              <w:bottom w:w="60" w:type="dxa"/>
              <w:right w:w="100" w:type="dxa"/>
            </w:tcMar>
          </w:tcPr>
          <w:p w14:paraId="34EAF9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57B56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3F45F35" w14:textId="77777777">
        <w:tc>
          <w:tcPr>
            <w:tcW w:w="2400" w:type="dxa"/>
            <w:shd w:val="clear" w:color="auto" w:fill="F2F2F2"/>
            <w:tcMar>
              <w:top w:w="60" w:type="dxa"/>
              <w:left w:w="100" w:type="dxa"/>
              <w:bottom w:w="60" w:type="dxa"/>
              <w:right w:w="100" w:type="dxa"/>
            </w:tcMar>
          </w:tcPr>
          <w:p w14:paraId="559437B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22A185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20F51E1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RF-11: Determinación del estado logístico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BADB018" w14:textId="77777777">
        <w:tc>
          <w:tcPr>
            <w:tcW w:w="2400" w:type="dxa"/>
            <w:shd w:val="clear" w:color="auto" w:fill="F2F2F2"/>
            <w:tcMar>
              <w:top w:w="60" w:type="dxa"/>
              <w:left w:w="100" w:type="dxa"/>
              <w:bottom w:w="60" w:type="dxa"/>
              <w:right w:w="100" w:type="dxa"/>
            </w:tcMar>
          </w:tcPr>
          <w:p w14:paraId="768F334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EAF71C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determinar automáticamente el estado logístico de cada pedido conforme al esquema de semáforo definido en las reglas RN-02 a RN-10 y RN-15, comparando la fecha proyectada de disponibilidad contra la fecha de entrega comprometida y considerando la etapa del viaje reportada por la fuente externa.</w:t>
            </w:r>
          </w:p>
        </w:tc>
      </w:tr>
      <w:tr w:rsidR="00CE2DA2" w:rsidRPr="00317AA7" w14:paraId="25046F7A" w14:textId="77777777">
        <w:tc>
          <w:tcPr>
            <w:tcW w:w="2400" w:type="dxa"/>
            <w:shd w:val="clear" w:color="auto" w:fill="F2F2F2"/>
            <w:tcMar>
              <w:top w:w="60" w:type="dxa"/>
              <w:left w:w="100" w:type="dxa"/>
              <w:bottom w:w="60" w:type="dxa"/>
              <w:right w:w="100" w:type="dxa"/>
            </w:tcMar>
          </w:tcPr>
          <w:p w14:paraId="314974D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A143A1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3056FC90" w14:textId="77777777">
        <w:tc>
          <w:tcPr>
            <w:tcW w:w="2400" w:type="dxa"/>
            <w:shd w:val="clear" w:color="auto" w:fill="F2F2F2"/>
            <w:tcMar>
              <w:top w:w="60" w:type="dxa"/>
              <w:left w:w="100" w:type="dxa"/>
              <w:bottom w:w="60" w:type="dxa"/>
              <w:right w:w="100" w:type="dxa"/>
            </w:tcMar>
          </w:tcPr>
          <w:p w14:paraId="363551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69294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fecha proyectada de disponibilidad, o bien carece de tracking asociado.</w:t>
            </w:r>
          </w:p>
        </w:tc>
      </w:tr>
      <w:tr w:rsidR="00CE2DA2" w:rsidRPr="00317AA7" w14:paraId="259C6F08" w14:textId="77777777">
        <w:tc>
          <w:tcPr>
            <w:tcW w:w="2400" w:type="dxa"/>
            <w:shd w:val="clear" w:color="auto" w:fill="F2F2F2"/>
            <w:tcMar>
              <w:top w:w="60" w:type="dxa"/>
              <w:left w:w="100" w:type="dxa"/>
              <w:bottom w:w="60" w:type="dxa"/>
              <w:right w:w="100" w:type="dxa"/>
            </w:tcMar>
          </w:tcPr>
          <w:p w14:paraId="1423FDE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3D035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almacena su estado calculado, que gobierna el color de su fila en la grilla y de su marcador en el mapa.</w:t>
            </w:r>
          </w:p>
        </w:tc>
      </w:tr>
      <w:tr w:rsidR="00CE2DA2" w:rsidRPr="00317AA7" w14:paraId="7FDA4081" w14:textId="77777777">
        <w:tc>
          <w:tcPr>
            <w:tcW w:w="2400" w:type="dxa"/>
            <w:shd w:val="clear" w:color="auto" w:fill="F2F2F2"/>
            <w:tcMar>
              <w:top w:w="60" w:type="dxa"/>
              <w:left w:w="100" w:type="dxa"/>
              <w:bottom w:w="60" w:type="dxa"/>
              <w:right w:w="100" w:type="dxa"/>
            </w:tcMar>
          </w:tcPr>
          <w:p w14:paraId="7D5C40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572349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69BC311E" w14:textId="77777777">
        <w:tc>
          <w:tcPr>
            <w:tcW w:w="2400" w:type="dxa"/>
            <w:shd w:val="clear" w:color="auto" w:fill="F2F2F2"/>
            <w:tcMar>
              <w:top w:w="60" w:type="dxa"/>
              <w:left w:w="100" w:type="dxa"/>
              <w:bottom w:w="60" w:type="dxa"/>
              <w:right w:w="100" w:type="dxa"/>
            </w:tcMar>
          </w:tcPr>
          <w:p w14:paraId="72E98DA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4EBEBA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3B548BA"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RF-12: Recálculo ante cambios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932CEDB" w14:textId="77777777">
        <w:tc>
          <w:tcPr>
            <w:tcW w:w="2400" w:type="dxa"/>
            <w:shd w:val="clear" w:color="auto" w:fill="F2F2F2"/>
            <w:tcMar>
              <w:top w:w="60" w:type="dxa"/>
              <w:left w:w="100" w:type="dxa"/>
              <w:bottom w:w="60" w:type="dxa"/>
              <w:right w:w="100" w:type="dxa"/>
            </w:tcMar>
          </w:tcPr>
          <w:p w14:paraId="0CB3F8F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F61E2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recalcular la fecha proyectada y el estado de un pedido cada vez que cambie alguno de sus insumos: nueva lectura de ETA o ATA desde la API, modificación del lead time del destino, registro de una confirmación manual de desembarco o aplicación de un ajuste manual.</w:t>
            </w:r>
          </w:p>
        </w:tc>
      </w:tr>
      <w:tr w:rsidR="00CE2DA2" w:rsidRPr="00317AA7" w14:paraId="6BD9A733" w14:textId="77777777">
        <w:tc>
          <w:tcPr>
            <w:tcW w:w="2400" w:type="dxa"/>
            <w:shd w:val="clear" w:color="auto" w:fill="F2F2F2"/>
            <w:tcMar>
              <w:top w:w="60" w:type="dxa"/>
              <w:left w:w="100" w:type="dxa"/>
              <w:bottom w:w="60" w:type="dxa"/>
              <w:right w:w="100" w:type="dxa"/>
            </w:tcMar>
          </w:tcPr>
          <w:p w14:paraId="4D36743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D150E7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2DEA8E6" w14:textId="77777777">
        <w:tc>
          <w:tcPr>
            <w:tcW w:w="2400" w:type="dxa"/>
            <w:shd w:val="clear" w:color="auto" w:fill="F2F2F2"/>
            <w:tcMar>
              <w:top w:w="60" w:type="dxa"/>
              <w:left w:w="100" w:type="dxa"/>
              <w:bottom w:w="60" w:type="dxa"/>
              <w:right w:w="100" w:type="dxa"/>
            </w:tcMar>
          </w:tcPr>
          <w:p w14:paraId="17F04E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90FEC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producido un cambio en alguno de los insumos del cálculo.</w:t>
            </w:r>
          </w:p>
        </w:tc>
      </w:tr>
      <w:tr w:rsidR="00CE2DA2" w:rsidRPr="00317AA7" w14:paraId="6DA7ECCE" w14:textId="77777777">
        <w:tc>
          <w:tcPr>
            <w:tcW w:w="2400" w:type="dxa"/>
            <w:shd w:val="clear" w:color="auto" w:fill="F2F2F2"/>
            <w:tcMar>
              <w:top w:w="60" w:type="dxa"/>
              <w:left w:w="100" w:type="dxa"/>
              <w:bottom w:w="60" w:type="dxa"/>
              <w:right w:w="100" w:type="dxa"/>
            </w:tcMar>
          </w:tcPr>
          <w:p w14:paraId="6302702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6F9622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fecha proyectada y el estado del pedido reflejan los valores vigentes.</w:t>
            </w:r>
          </w:p>
        </w:tc>
      </w:tr>
      <w:tr w:rsidR="00CE2DA2" w:rsidRPr="00317AA7" w14:paraId="0474E217" w14:textId="77777777">
        <w:tc>
          <w:tcPr>
            <w:tcW w:w="2400" w:type="dxa"/>
            <w:shd w:val="clear" w:color="auto" w:fill="F2F2F2"/>
            <w:tcMar>
              <w:top w:w="60" w:type="dxa"/>
              <w:left w:w="100" w:type="dxa"/>
              <w:bottom w:w="60" w:type="dxa"/>
              <w:right w:w="100" w:type="dxa"/>
            </w:tcMar>
          </w:tcPr>
          <w:p w14:paraId="5E348A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0A8BD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DDD2197" w14:textId="77777777">
        <w:tc>
          <w:tcPr>
            <w:tcW w:w="2400" w:type="dxa"/>
            <w:shd w:val="clear" w:color="auto" w:fill="F2F2F2"/>
            <w:tcMar>
              <w:top w:w="60" w:type="dxa"/>
              <w:left w:w="100" w:type="dxa"/>
              <w:bottom w:w="60" w:type="dxa"/>
              <w:right w:w="100" w:type="dxa"/>
            </w:tcMar>
          </w:tcPr>
          <w:p w14:paraId="13124F4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4077C5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75E6C88" w14:textId="48AA3EF4" w:rsidR="00CE2DA2" w:rsidRPr="00317AA7" w:rsidRDefault="00D91203">
      <w:pPr>
        <w:pStyle w:val="Ttulo2"/>
        <w:rPr>
          <w:rFonts w:ascii="Times New Roman" w:hAnsi="Times New Roman" w:cs="Times New Roman"/>
          <w:color w:val="auto"/>
        </w:rPr>
      </w:pPr>
      <w:bookmarkStart w:id="19" w:name="_Toc237262843"/>
      <w:r>
        <w:rPr>
          <w:rFonts w:ascii="Times New Roman" w:hAnsi="Times New Roman" w:cs="Times New Roman"/>
          <w:color w:val="auto"/>
        </w:rPr>
        <w:t xml:space="preserve">4.4 Confirmación manual de </w:t>
      </w:r>
      <w:bookmarkEnd w:id="19"/>
      <w:r>
        <w:rPr>
          <w:rFonts w:ascii="Times New Roman" w:hAnsi="Times New Roman" w:cs="Times New Roman"/>
          <w:color w:val="auto"/>
        </w:rPr>
        <w:t>hitos</w:t>
      </w:r>
    </w:p>
    <w:p w14:paraId="3C766C9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RF-13: Confirmación manual de desembarco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A3F4B09" w14:textId="77777777">
        <w:tc>
          <w:tcPr>
            <w:tcW w:w="2400" w:type="dxa"/>
            <w:shd w:val="clear" w:color="auto" w:fill="F2F2F2"/>
            <w:tcMar>
              <w:top w:w="60" w:type="dxa"/>
              <w:left w:w="100" w:type="dxa"/>
              <w:bottom w:w="60" w:type="dxa"/>
              <w:right w:w="100" w:type="dxa"/>
            </w:tcMar>
          </w:tcPr>
          <w:p w14:paraId="26314FE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CD3F3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al usuario de Logística registrar manualmente la llegada efectiva de una carga a su destino, indicando la fecha y hora reales. Esta confirmación tiene precedencia sobre la ETA reportada por la API y pasa a alimentar el cálculo de la fecha proyectada de disponibilidad.</w:t>
            </w:r>
          </w:p>
        </w:tc>
      </w:tr>
      <w:tr w:rsidR="00CE2DA2" w:rsidRPr="00317AA7" w14:paraId="36832756" w14:textId="77777777">
        <w:tc>
          <w:tcPr>
            <w:tcW w:w="2400" w:type="dxa"/>
            <w:shd w:val="clear" w:color="auto" w:fill="F2F2F2"/>
            <w:tcMar>
              <w:top w:w="60" w:type="dxa"/>
              <w:left w:w="100" w:type="dxa"/>
              <w:bottom w:w="60" w:type="dxa"/>
              <w:right w:w="100" w:type="dxa"/>
            </w:tcMar>
          </w:tcPr>
          <w:p w14:paraId="692E8B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9B381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436E624C" w14:textId="77777777">
        <w:tc>
          <w:tcPr>
            <w:tcW w:w="2400" w:type="dxa"/>
            <w:shd w:val="clear" w:color="auto" w:fill="F2F2F2"/>
            <w:tcMar>
              <w:top w:w="60" w:type="dxa"/>
              <w:left w:w="100" w:type="dxa"/>
              <w:bottom w:w="60" w:type="dxa"/>
              <w:right w:w="100" w:type="dxa"/>
            </w:tcMar>
          </w:tcPr>
          <w:p w14:paraId="6088E56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ED4C3F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y no se encuentra en un estado terminal.</w:t>
            </w:r>
          </w:p>
        </w:tc>
      </w:tr>
      <w:tr w:rsidR="00CE2DA2" w:rsidRPr="00317AA7" w14:paraId="19B53DB5" w14:textId="77777777">
        <w:tc>
          <w:tcPr>
            <w:tcW w:w="2400" w:type="dxa"/>
            <w:shd w:val="clear" w:color="auto" w:fill="F2F2F2"/>
            <w:tcMar>
              <w:top w:w="60" w:type="dxa"/>
              <w:left w:w="100" w:type="dxa"/>
              <w:bottom w:w="60" w:type="dxa"/>
              <w:right w:w="100" w:type="dxa"/>
            </w:tcMar>
          </w:tcPr>
          <w:p w14:paraId="7CBDE4C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BFED16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registra su ATA confirmada. La fecha proyectada y el estado se recalculan (RF-12). La acción queda auditada (RF-14).</w:t>
            </w:r>
          </w:p>
        </w:tc>
      </w:tr>
      <w:tr w:rsidR="00CE2DA2" w:rsidRPr="00317AA7" w14:paraId="3D9963D1" w14:textId="77777777">
        <w:tc>
          <w:tcPr>
            <w:tcW w:w="2400" w:type="dxa"/>
            <w:shd w:val="clear" w:color="auto" w:fill="F2F2F2"/>
            <w:tcMar>
              <w:top w:w="60" w:type="dxa"/>
              <w:left w:w="100" w:type="dxa"/>
              <w:bottom w:w="60" w:type="dxa"/>
              <w:right w:w="100" w:type="dxa"/>
            </w:tcMar>
          </w:tcPr>
          <w:p w14:paraId="590D0CF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64B6384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53CB13C3" w14:textId="77777777">
        <w:tc>
          <w:tcPr>
            <w:tcW w:w="2400" w:type="dxa"/>
            <w:shd w:val="clear" w:color="auto" w:fill="F2F2F2"/>
            <w:tcMar>
              <w:top w:w="60" w:type="dxa"/>
              <w:left w:w="100" w:type="dxa"/>
              <w:bottom w:w="60" w:type="dxa"/>
              <w:right w:w="100" w:type="dxa"/>
            </w:tcMar>
          </w:tcPr>
          <w:p w14:paraId="40971DF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06593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0C1FC7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RF-14: Auditoría de confirmaciones y ajustes manuales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6480E81" w14:textId="77777777">
        <w:tc>
          <w:tcPr>
            <w:tcW w:w="2400" w:type="dxa"/>
            <w:shd w:val="clear" w:color="auto" w:fill="F2F2F2"/>
            <w:tcMar>
              <w:top w:w="60" w:type="dxa"/>
              <w:left w:w="100" w:type="dxa"/>
              <w:bottom w:w="60" w:type="dxa"/>
              <w:right w:w="100" w:type="dxa"/>
            </w:tcMar>
          </w:tcPr>
          <w:p w14:paraId="1CFEC3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49E41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registrar, por cada intervención manual sobre un pedido, el usuario que la ejecutó, la fecha y hora, el valor anterior, el valor nuevo y el motivo declarado. Este registro responde al riesgo de trazabilidad identificado en el documento técnico-funcional.</w:t>
            </w:r>
          </w:p>
        </w:tc>
      </w:tr>
      <w:tr w:rsidR="00CE2DA2" w:rsidRPr="00317AA7" w14:paraId="6E0307C0" w14:textId="77777777">
        <w:tc>
          <w:tcPr>
            <w:tcW w:w="2400" w:type="dxa"/>
            <w:shd w:val="clear" w:color="auto" w:fill="F2F2F2"/>
            <w:tcMar>
              <w:top w:w="60" w:type="dxa"/>
              <w:left w:w="100" w:type="dxa"/>
              <w:bottom w:w="60" w:type="dxa"/>
              <w:right w:w="100" w:type="dxa"/>
            </w:tcMar>
          </w:tcPr>
          <w:p w14:paraId="45616F6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45FBF56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Usuario de Logística</w:t>
            </w:r>
          </w:p>
        </w:tc>
      </w:tr>
      <w:tr w:rsidR="00CE2DA2" w:rsidRPr="00317AA7" w14:paraId="27896F8F" w14:textId="77777777">
        <w:tc>
          <w:tcPr>
            <w:tcW w:w="2400" w:type="dxa"/>
            <w:shd w:val="clear" w:color="auto" w:fill="F2F2F2"/>
            <w:tcMar>
              <w:top w:w="60" w:type="dxa"/>
              <w:left w:w="100" w:type="dxa"/>
              <w:bottom w:w="60" w:type="dxa"/>
              <w:right w:w="100" w:type="dxa"/>
            </w:tcMar>
          </w:tcPr>
          <w:p w14:paraId="054D30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D4DAA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usuario ha ejecutado una confirmación manual o un ajuste sobre un pedido.</w:t>
            </w:r>
          </w:p>
        </w:tc>
      </w:tr>
      <w:tr w:rsidR="00CE2DA2" w:rsidRPr="00317AA7" w14:paraId="3DD7DA77" w14:textId="77777777">
        <w:tc>
          <w:tcPr>
            <w:tcW w:w="2400" w:type="dxa"/>
            <w:shd w:val="clear" w:color="auto" w:fill="F2F2F2"/>
            <w:tcMar>
              <w:top w:w="60" w:type="dxa"/>
              <w:left w:w="100" w:type="dxa"/>
              <w:bottom w:w="60" w:type="dxa"/>
              <w:right w:w="100" w:type="dxa"/>
            </w:tcMar>
          </w:tcPr>
          <w:p w14:paraId="5E8982C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C6C327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intervención queda registrada de forma inalterable y consultable.</w:t>
            </w:r>
          </w:p>
        </w:tc>
      </w:tr>
      <w:tr w:rsidR="00CE2DA2" w:rsidRPr="00317AA7" w14:paraId="6FE4F7F3" w14:textId="77777777">
        <w:tc>
          <w:tcPr>
            <w:tcW w:w="2400" w:type="dxa"/>
            <w:shd w:val="clear" w:color="auto" w:fill="F2F2F2"/>
            <w:tcMar>
              <w:top w:w="60" w:type="dxa"/>
              <w:left w:w="100" w:type="dxa"/>
              <w:bottom w:w="60" w:type="dxa"/>
              <w:right w:w="100" w:type="dxa"/>
            </w:tcMar>
          </w:tcPr>
          <w:p w14:paraId="1CE4D0A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1125BD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F4D2E07" w14:textId="77777777">
        <w:tc>
          <w:tcPr>
            <w:tcW w:w="2400" w:type="dxa"/>
            <w:shd w:val="clear" w:color="auto" w:fill="F2F2F2"/>
            <w:tcMar>
              <w:top w:w="60" w:type="dxa"/>
              <w:left w:w="100" w:type="dxa"/>
              <w:bottom w:w="60" w:type="dxa"/>
              <w:right w:w="100" w:type="dxa"/>
            </w:tcMar>
          </w:tcPr>
          <w:p w14:paraId="3E09148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D660EA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1C7B5742" w14:textId="68440559"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RF-25: Confirmación de recepción en planta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11FDBD8" w14:textId="77777777">
        <w:tc>
          <w:tcPr>
            <w:tcW w:w="2400" w:type="dxa"/>
            <w:shd w:val="clear" w:color="auto" w:fill="F2F2F2"/>
            <w:tcMar>
              <w:top w:w="60" w:type="dxa"/>
              <w:left w:w="100" w:type="dxa"/>
              <w:bottom w:w="60" w:type="dxa"/>
              <w:right w:w="100" w:type="dxa"/>
            </w:tcMar>
          </w:tcPr>
          <w:p w14:paraId="42CF49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5503577" w14:textId="44A8E3C1"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sistema debe permitir registrar la recepción efectiva de la mercancía en la planta o almacén de Laboratorios Gutis, indicando la fecha y hora reales de ingreso y la cantidad recibida. Este registro es el que produce la transición del pedido al estado Cerrado conforme a RN-10, a partir del cual el pedido deja de consultarse contra las APIs externas y se archiva.</w:t>
            </w:r>
          </w:p>
        </w:tc>
      </w:tr>
      <w:tr w:rsidR="00CE2DA2" w:rsidRPr="00317AA7" w14:paraId="5BB46534" w14:textId="77777777">
        <w:tc>
          <w:tcPr>
            <w:tcW w:w="2400" w:type="dxa"/>
            <w:shd w:val="clear" w:color="auto" w:fill="F2F2F2"/>
            <w:tcMar>
              <w:top w:w="60" w:type="dxa"/>
              <w:left w:w="100" w:type="dxa"/>
              <w:bottom w:w="60" w:type="dxa"/>
              <w:right w:w="100" w:type="dxa"/>
            </w:tcMar>
          </w:tcPr>
          <w:p w14:paraId="0E41972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54FA688" w14:textId="4C1CD8DB"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0C77704E" w14:textId="77777777">
        <w:tc>
          <w:tcPr>
            <w:tcW w:w="2400" w:type="dxa"/>
            <w:shd w:val="clear" w:color="auto" w:fill="F2F2F2"/>
            <w:tcMar>
              <w:top w:w="60" w:type="dxa"/>
              <w:left w:w="100" w:type="dxa"/>
              <w:bottom w:w="60" w:type="dxa"/>
              <w:right w:w="100" w:type="dxa"/>
            </w:tcMar>
          </w:tcPr>
          <w:p w14:paraId="329B65C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E9BDCEF" w14:textId="4F652A3A"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existe y no se encuentra en un estado terminal. La carga ha arribado al destino, sea por reporte de la fuente externa o por confirmación manual de desembarco (RF-13). La recepción se registra hoy en SAP por parte de Recepción Logística; TrackIn la captura para efectos de seguimiento, sin escribir en el ERP.</w:t>
            </w:r>
          </w:p>
        </w:tc>
      </w:tr>
      <w:tr w:rsidR="00CE2DA2" w:rsidRPr="00317AA7" w14:paraId="0FB5951B" w14:textId="77777777">
        <w:tc>
          <w:tcPr>
            <w:tcW w:w="2400" w:type="dxa"/>
            <w:shd w:val="clear" w:color="auto" w:fill="F2F2F2"/>
            <w:tcMar>
              <w:top w:w="60" w:type="dxa"/>
              <w:left w:w="100" w:type="dxa"/>
              <w:bottom w:w="60" w:type="dxa"/>
              <w:right w:w="100" w:type="dxa"/>
            </w:tcMar>
          </w:tcPr>
          <w:p w14:paraId="5D1C0BA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7F79255" w14:textId="2E0E6000"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registra su fecha de recepción en planta y transita al estado Cerrado. El sistema suspende las consultas automáticas a las APIs externas para ese pedido. El pedido deja de computarse entre los pedidos activos de la cinta de KPIs. La intervención queda auditada conforme a RF-14.</w:t>
            </w:r>
          </w:p>
        </w:tc>
      </w:tr>
      <w:tr w:rsidR="00CE2DA2" w:rsidRPr="00317AA7" w14:paraId="22BC8FC4" w14:textId="77777777">
        <w:tc>
          <w:tcPr>
            <w:tcW w:w="2400" w:type="dxa"/>
            <w:shd w:val="clear" w:color="auto" w:fill="F2F2F2"/>
            <w:tcMar>
              <w:top w:w="60" w:type="dxa"/>
              <w:left w:w="100" w:type="dxa"/>
              <w:bottom w:w="60" w:type="dxa"/>
              <w:right w:w="100" w:type="dxa"/>
            </w:tcMar>
          </w:tcPr>
          <w:p w14:paraId="4425F89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FBD7849" w14:textId="445EECA5"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F734C2A" w14:textId="77777777">
        <w:tc>
          <w:tcPr>
            <w:tcW w:w="2400" w:type="dxa"/>
            <w:shd w:val="clear" w:color="auto" w:fill="F2F2F2"/>
            <w:tcMar>
              <w:top w:w="60" w:type="dxa"/>
              <w:left w:w="100" w:type="dxa"/>
              <w:bottom w:w="60" w:type="dxa"/>
              <w:right w:w="100" w:type="dxa"/>
            </w:tcMar>
          </w:tcPr>
          <w:p w14:paraId="36E426C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9B13C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2EBA726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RF-26: Actualización de la nave asignada ante transbordo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C96AC5B" w14:textId="77777777">
        <w:tc>
          <w:tcPr>
            <w:tcW w:w="2400" w:type="dxa"/>
            <w:shd w:val="clear" w:color="auto" w:fill="F2F2F2"/>
            <w:tcMar>
              <w:top w:w="60" w:type="dxa"/>
              <w:left w:w="100" w:type="dxa"/>
              <w:bottom w:w="60" w:type="dxa"/>
              <w:right w:w="100" w:type="dxa"/>
            </w:tcMar>
          </w:tcPr>
          <w:p w14:paraId="41C3634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FC5A6A3"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sistema debe permitir al usuario de Logística sustituir la nave asociada a un pedido marítimo cuando el transportista notifique un transbordo, indicando el nuevo identificador (MMSI, IMO o nombre de buque), el puerto en que se produjo y la fecha de la notificación. El historial de posiciones acumulado con la nave anterior debe conservarse y quedar asociado al tramo correspondiente del viaje.</w:t>
            </w:r>
          </w:p>
        </w:tc>
      </w:tr>
      <w:tr w:rsidR="00CE2DA2" w:rsidRPr="00317AA7" w14:paraId="2A5D57B8" w14:textId="77777777">
        <w:tc>
          <w:tcPr>
            <w:tcW w:w="2400" w:type="dxa"/>
            <w:shd w:val="clear" w:color="auto" w:fill="F2F2F2"/>
            <w:tcMar>
              <w:top w:w="60" w:type="dxa"/>
              <w:left w:w="100" w:type="dxa"/>
              <w:bottom w:w="60" w:type="dxa"/>
              <w:right w:w="100" w:type="dxa"/>
            </w:tcMar>
          </w:tcPr>
          <w:p w14:paraId="1B5F03B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71D4E9B"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3EEAEC76" w14:textId="77777777">
        <w:tc>
          <w:tcPr>
            <w:tcW w:w="2400" w:type="dxa"/>
            <w:shd w:val="clear" w:color="auto" w:fill="F2F2F2"/>
            <w:tcMar>
              <w:top w:w="60" w:type="dxa"/>
              <w:left w:w="100" w:type="dxa"/>
              <w:bottom w:w="60" w:type="dxa"/>
              <w:right w:w="100" w:type="dxa"/>
            </w:tcMar>
          </w:tcPr>
          <w:p w14:paraId="59FAE54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93B319C"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es de vía marítima, cuenta con un identificador de nave asociado y no se encuentra en un estado terminal.</w:t>
            </w:r>
          </w:p>
        </w:tc>
      </w:tr>
      <w:tr w:rsidR="00CE2DA2" w:rsidRPr="00317AA7" w14:paraId="5CFE9FF5" w14:textId="77777777">
        <w:tc>
          <w:tcPr>
            <w:tcW w:w="2400" w:type="dxa"/>
            <w:shd w:val="clear" w:color="auto" w:fill="F2F2F2"/>
            <w:tcMar>
              <w:top w:w="60" w:type="dxa"/>
              <w:left w:w="100" w:type="dxa"/>
              <w:bottom w:w="60" w:type="dxa"/>
              <w:right w:w="100" w:type="dxa"/>
            </w:tcMar>
          </w:tcPr>
          <w:p w14:paraId="557E4CF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Postcondiciones</w:t>
            </w:r>
          </w:p>
        </w:tc>
        <w:tc>
          <w:tcPr>
            <w:tcW w:w="6960" w:type="dxa"/>
            <w:tcMar>
              <w:top w:w="60" w:type="dxa"/>
              <w:left w:w="100" w:type="dxa"/>
              <w:bottom w:w="60" w:type="dxa"/>
              <w:right w:w="100" w:type="dxa"/>
            </w:tcMar>
          </w:tcPr>
          <w:p w14:paraId="695AD733"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pasa a rastrearse contra la nueva nave. El tramo anterior queda cerrado en el historial y el trayecto reconstruido conserva ambos segmentos. La intervención queda auditada conforme a RF-14.</w:t>
            </w:r>
          </w:p>
        </w:tc>
      </w:tr>
      <w:tr w:rsidR="00CE2DA2" w:rsidRPr="00317AA7" w14:paraId="01AD3C49" w14:textId="77777777">
        <w:tc>
          <w:tcPr>
            <w:tcW w:w="2400" w:type="dxa"/>
            <w:shd w:val="clear" w:color="auto" w:fill="F2F2F2"/>
            <w:tcMar>
              <w:top w:w="60" w:type="dxa"/>
              <w:left w:w="100" w:type="dxa"/>
              <w:bottom w:w="60" w:type="dxa"/>
              <w:right w:w="100" w:type="dxa"/>
            </w:tcMar>
          </w:tcPr>
          <w:p w14:paraId="2F4B71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C4BC40E"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2448719" w14:textId="77777777">
        <w:tc>
          <w:tcPr>
            <w:tcW w:w="2400" w:type="dxa"/>
            <w:shd w:val="clear" w:color="auto" w:fill="F2F2F2"/>
            <w:tcMar>
              <w:top w:w="60" w:type="dxa"/>
              <w:left w:w="100" w:type="dxa"/>
              <w:bottom w:w="60" w:type="dxa"/>
              <w:right w:w="100" w:type="dxa"/>
            </w:tcMar>
          </w:tcPr>
          <w:p w14:paraId="6DEE5E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CBBF8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5EEBAB11" w14:textId="77777777" w:rsidR="00CE2DA2" w:rsidRPr="00317AA7" w:rsidRDefault="00D91203">
      <w:pPr>
        <w:pStyle w:val="Ttulo2"/>
        <w:rPr>
          <w:rFonts w:ascii="Times New Roman" w:hAnsi="Times New Roman" w:cs="Times New Roman"/>
          <w:color w:val="auto"/>
        </w:rPr>
      </w:pPr>
      <w:bookmarkStart w:id="20" w:name="_Toc237262844"/>
      <w:r>
        <w:rPr>
          <w:rFonts w:ascii="Times New Roman" w:hAnsi="Times New Roman" w:cs="Times New Roman"/>
          <w:color w:val="auto"/>
        </w:rPr>
        <w:t>4.5 Visualización en el dashboard</w:t>
      </w:r>
      <w:bookmarkEnd w:id="20"/>
    </w:p>
    <w:p w14:paraId="120E93E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RF-15: Cinta de indicadores KPI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AFF4D07" w14:textId="77777777">
        <w:tc>
          <w:tcPr>
            <w:tcW w:w="2400" w:type="dxa"/>
            <w:shd w:val="clear" w:color="auto" w:fill="F2F2F2"/>
            <w:tcMar>
              <w:top w:w="60" w:type="dxa"/>
              <w:left w:w="100" w:type="dxa"/>
              <w:bottom w:w="60" w:type="dxa"/>
              <w:right w:w="100" w:type="dxa"/>
            </w:tcMar>
          </w:tcPr>
          <w:p w14:paraId="544DC26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62741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una cinta superior de indicadores con el número de pedidos activos, el porcentaje de pedidos a tiempo, en riesgo y retrasados, y el lead time promedio. Los indicadores deben responder a los filtros activos.</w:t>
            </w:r>
          </w:p>
        </w:tc>
      </w:tr>
      <w:tr w:rsidR="00CE2DA2" w:rsidRPr="00317AA7" w14:paraId="338C641E" w14:textId="77777777">
        <w:tc>
          <w:tcPr>
            <w:tcW w:w="2400" w:type="dxa"/>
            <w:shd w:val="clear" w:color="auto" w:fill="F2F2F2"/>
            <w:tcMar>
              <w:top w:w="60" w:type="dxa"/>
              <w:left w:w="100" w:type="dxa"/>
              <w:bottom w:w="60" w:type="dxa"/>
              <w:right w:w="100" w:type="dxa"/>
            </w:tcMar>
          </w:tcPr>
          <w:p w14:paraId="5F3AED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2B20C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6061CC1" w14:textId="77777777">
        <w:tc>
          <w:tcPr>
            <w:tcW w:w="2400" w:type="dxa"/>
            <w:shd w:val="clear" w:color="auto" w:fill="F2F2F2"/>
            <w:tcMar>
              <w:top w:w="60" w:type="dxa"/>
              <w:left w:w="100" w:type="dxa"/>
              <w:bottom w:w="60" w:type="dxa"/>
              <w:right w:w="100" w:type="dxa"/>
            </w:tcMar>
          </w:tcPr>
          <w:p w14:paraId="2BE9925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AA0CDD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w:t>
            </w:r>
          </w:p>
        </w:tc>
      </w:tr>
      <w:tr w:rsidR="00CE2DA2" w:rsidRPr="00317AA7" w14:paraId="7865ACFB" w14:textId="77777777">
        <w:tc>
          <w:tcPr>
            <w:tcW w:w="2400" w:type="dxa"/>
            <w:shd w:val="clear" w:color="auto" w:fill="F2F2F2"/>
            <w:tcMar>
              <w:top w:w="60" w:type="dxa"/>
              <w:left w:w="100" w:type="dxa"/>
              <w:bottom w:w="60" w:type="dxa"/>
              <w:right w:w="100" w:type="dxa"/>
            </w:tcMar>
          </w:tcPr>
          <w:p w14:paraId="7389FBE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F923E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estado agregado de la cartera de pedidos.</w:t>
            </w:r>
          </w:p>
        </w:tc>
      </w:tr>
      <w:tr w:rsidR="00CE2DA2" w:rsidRPr="00317AA7" w14:paraId="2A0AF679" w14:textId="77777777">
        <w:tc>
          <w:tcPr>
            <w:tcW w:w="2400" w:type="dxa"/>
            <w:shd w:val="clear" w:color="auto" w:fill="F2F2F2"/>
            <w:tcMar>
              <w:top w:w="60" w:type="dxa"/>
              <w:left w:w="100" w:type="dxa"/>
              <w:bottom w:w="60" w:type="dxa"/>
              <w:right w:w="100" w:type="dxa"/>
            </w:tcMar>
          </w:tcPr>
          <w:p w14:paraId="6FAA203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6CA2510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7F25AFA" w14:textId="77777777">
        <w:tc>
          <w:tcPr>
            <w:tcW w:w="2400" w:type="dxa"/>
            <w:shd w:val="clear" w:color="auto" w:fill="F2F2F2"/>
            <w:tcMar>
              <w:top w:w="60" w:type="dxa"/>
              <w:left w:w="100" w:type="dxa"/>
              <w:bottom w:w="60" w:type="dxa"/>
              <w:right w:w="100" w:type="dxa"/>
            </w:tcMar>
          </w:tcPr>
          <w:p w14:paraId="019E48B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058564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19FF8D9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RF-27: Vista de próximos arribos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5CEB3B" w14:textId="77777777">
        <w:tc>
          <w:tcPr>
            <w:tcW w:w="2400" w:type="dxa"/>
            <w:shd w:val="clear" w:color="auto" w:fill="F2F2F2"/>
            <w:tcMar>
              <w:top w:w="60" w:type="dxa"/>
              <w:left w:w="100" w:type="dxa"/>
              <w:bottom w:w="60" w:type="dxa"/>
              <w:right w:w="100" w:type="dxa"/>
            </w:tcMar>
          </w:tcPr>
          <w:p w14:paraId="7BE7CC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6AE50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una vista de próximos arribos con los cinco pedidos cuya fecha proyectada de disponibilidad sea la más cercana dentro de los siete días siguientes. Si en ese horizonte no existen cinco pedidos, la vista se completa hasta cinco con los pedidos de peor situación de cumplimiento dentro de los treinta días siguientes. La vista responde a los filtros activos.</w:t>
            </w:r>
          </w:p>
        </w:tc>
      </w:tr>
      <w:tr w:rsidR="00CE2DA2" w:rsidRPr="00317AA7" w14:paraId="57E902F3" w14:textId="77777777">
        <w:tc>
          <w:tcPr>
            <w:tcW w:w="2400" w:type="dxa"/>
            <w:shd w:val="clear" w:color="auto" w:fill="F2F2F2"/>
            <w:tcMar>
              <w:top w:w="60" w:type="dxa"/>
              <w:left w:w="100" w:type="dxa"/>
              <w:bottom w:w="60" w:type="dxa"/>
              <w:right w:w="100" w:type="dxa"/>
            </w:tcMar>
          </w:tcPr>
          <w:p w14:paraId="4FB91E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BD7266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D8358F0" w14:textId="77777777">
        <w:tc>
          <w:tcPr>
            <w:tcW w:w="2400" w:type="dxa"/>
            <w:shd w:val="clear" w:color="auto" w:fill="F2F2F2"/>
            <w:tcMar>
              <w:top w:w="60" w:type="dxa"/>
              <w:left w:w="100" w:type="dxa"/>
              <w:bottom w:w="60" w:type="dxa"/>
              <w:right w:w="100" w:type="dxa"/>
            </w:tcMar>
          </w:tcPr>
          <w:p w14:paraId="212313B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59B771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activo con fecha proyectada de disponibilidad calculada.</w:t>
            </w:r>
          </w:p>
        </w:tc>
      </w:tr>
      <w:tr w:rsidR="00CE2DA2" w:rsidRPr="00317AA7" w14:paraId="06CE83D6" w14:textId="77777777">
        <w:tc>
          <w:tcPr>
            <w:tcW w:w="2400" w:type="dxa"/>
            <w:shd w:val="clear" w:color="auto" w:fill="F2F2F2"/>
            <w:tcMar>
              <w:top w:w="60" w:type="dxa"/>
              <w:left w:w="100" w:type="dxa"/>
              <w:bottom w:w="60" w:type="dxa"/>
              <w:right w:w="100" w:type="dxa"/>
            </w:tcMar>
          </w:tcPr>
          <w:p w14:paraId="62F7DC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9D6217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identifica de un vistazo los arribos que exigen atención inmediata.</w:t>
            </w:r>
          </w:p>
        </w:tc>
      </w:tr>
      <w:tr w:rsidR="00CE2DA2" w:rsidRPr="00317AA7" w14:paraId="2E666B11" w14:textId="77777777">
        <w:tc>
          <w:tcPr>
            <w:tcW w:w="2400" w:type="dxa"/>
            <w:shd w:val="clear" w:color="auto" w:fill="F2F2F2"/>
            <w:tcMar>
              <w:top w:w="60" w:type="dxa"/>
              <w:left w:w="100" w:type="dxa"/>
              <w:bottom w:w="60" w:type="dxa"/>
              <w:right w:w="100" w:type="dxa"/>
            </w:tcMar>
          </w:tcPr>
          <w:p w14:paraId="3BA465A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CDCD1B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50A3630F" w14:textId="77777777">
        <w:tc>
          <w:tcPr>
            <w:tcW w:w="2400" w:type="dxa"/>
            <w:shd w:val="clear" w:color="auto" w:fill="F2F2F2"/>
            <w:tcMar>
              <w:top w:w="60" w:type="dxa"/>
              <w:left w:w="100" w:type="dxa"/>
              <w:bottom w:w="60" w:type="dxa"/>
              <w:right w:w="100" w:type="dxa"/>
            </w:tcMar>
          </w:tcPr>
          <w:p w14:paraId="2A26423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8C820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798F9D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RF-16: Mapa interactivo marítimo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8DF4C23" w14:textId="77777777">
        <w:tc>
          <w:tcPr>
            <w:tcW w:w="2400" w:type="dxa"/>
            <w:shd w:val="clear" w:color="auto" w:fill="F2F2F2"/>
            <w:tcMar>
              <w:top w:w="60" w:type="dxa"/>
              <w:left w:w="100" w:type="dxa"/>
              <w:bottom w:w="60" w:type="dxa"/>
              <w:right w:w="100" w:type="dxa"/>
            </w:tcMar>
          </w:tcPr>
          <w:p w14:paraId="02B61E3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FB25E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 mapa interactivo con la posición actual de las embarcaciones asociadas a los pedidos marítimos resultantes del filtro, empleando marcadores coloreados según el estado del pedido.</w:t>
            </w:r>
          </w:p>
        </w:tc>
      </w:tr>
      <w:tr w:rsidR="00CE2DA2" w:rsidRPr="00317AA7" w14:paraId="15F24396" w14:textId="77777777">
        <w:tc>
          <w:tcPr>
            <w:tcW w:w="2400" w:type="dxa"/>
            <w:shd w:val="clear" w:color="auto" w:fill="F2F2F2"/>
            <w:tcMar>
              <w:top w:w="60" w:type="dxa"/>
              <w:left w:w="100" w:type="dxa"/>
              <w:bottom w:w="60" w:type="dxa"/>
              <w:right w:w="100" w:type="dxa"/>
            </w:tcMar>
          </w:tcPr>
          <w:p w14:paraId="49788EB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107DE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7B7D68B6" w14:textId="77777777">
        <w:tc>
          <w:tcPr>
            <w:tcW w:w="2400" w:type="dxa"/>
            <w:shd w:val="clear" w:color="auto" w:fill="F2F2F2"/>
            <w:tcMar>
              <w:top w:w="60" w:type="dxa"/>
              <w:left w:w="100" w:type="dxa"/>
              <w:bottom w:w="60" w:type="dxa"/>
              <w:right w:w="100" w:type="dxa"/>
            </w:tcMar>
          </w:tcPr>
          <w:p w14:paraId="0A177B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1FBFF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marítimo con posición conocida.</w:t>
            </w:r>
          </w:p>
        </w:tc>
      </w:tr>
      <w:tr w:rsidR="00CE2DA2" w:rsidRPr="00317AA7" w14:paraId="6368D1D3" w14:textId="77777777">
        <w:tc>
          <w:tcPr>
            <w:tcW w:w="2400" w:type="dxa"/>
            <w:shd w:val="clear" w:color="auto" w:fill="F2F2F2"/>
            <w:tcMar>
              <w:top w:w="60" w:type="dxa"/>
              <w:left w:w="100" w:type="dxa"/>
              <w:bottom w:w="60" w:type="dxa"/>
              <w:right w:w="100" w:type="dxa"/>
            </w:tcMar>
          </w:tcPr>
          <w:p w14:paraId="1526FC1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3A2B0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geográficamente la distribución de sus cargas marítimas.</w:t>
            </w:r>
          </w:p>
        </w:tc>
      </w:tr>
      <w:tr w:rsidR="00CE2DA2" w:rsidRPr="00317AA7" w14:paraId="75B2ECA7" w14:textId="77777777">
        <w:tc>
          <w:tcPr>
            <w:tcW w:w="2400" w:type="dxa"/>
            <w:shd w:val="clear" w:color="auto" w:fill="F2F2F2"/>
            <w:tcMar>
              <w:top w:w="60" w:type="dxa"/>
              <w:left w:w="100" w:type="dxa"/>
              <w:bottom w:w="60" w:type="dxa"/>
              <w:right w:w="100" w:type="dxa"/>
            </w:tcMar>
          </w:tcPr>
          <w:p w14:paraId="474671E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Prioridad</w:t>
            </w:r>
          </w:p>
        </w:tc>
        <w:tc>
          <w:tcPr>
            <w:tcW w:w="6960" w:type="dxa"/>
            <w:tcMar>
              <w:top w:w="60" w:type="dxa"/>
              <w:left w:w="100" w:type="dxa"/>
              <w:bottom w:w="60" w:type="dxa"/>
              <w:right w:w="100" w:type="dxa"/>
            </w:tcMar>
          </w:tcPr>
          <w:p w14:paraId="748D8E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664D1EF5" w14:textId="77777777">
        <w:tc>
          <w:tcPr>
            <w:tcW w:w="2400" w:type="dxa"/>
            <w:shd w:val="clear" w:color="auto" w:fill="F2F2F2"/>
            <w:tcMar>
              <w:top w:w="60" w:type="dxa"/>
              <w:left w:w="100" w:type="dxa"/>
              <w:bottom w:w="60" w:type="dxa"/>
              <w:right w:w="100" w:type="dxa"/>
            </w:tcMar>
          </w:tcPr>
          <w:p w14:paraId="6C2DA8C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EB163C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7A9852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RF-17: Mapa interactivo aéreo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B4D248C" w14:textId="77777777">
        <w:tc>
          <w:tcPr>
            <w:tcW w:w="2400" w:type="dxa"/>
            <w:shd w:val="clear" w:color="auto" w:fill="F2F2F2"/>
            <w:tcMar>
              <w:top w:w="60" w:type="dxa"/>
              <w:left w:w="100" w:type="dxa"/>
              <w:bottom w:w="60" w:type="dxa"/>
              <w:right w:w="100" w:type="dxa"/>
            </w:tcMar>
          </w:tcPr>
          <w:p w14:paraId="7D66157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05155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 mapa interactivo, separado del marítimo, con la posición de las aeronaves asociadas a los pedidos aéreos resultantes del filtro, empleando el mismo esquema de color por estado.</w:t>
            </w:r>
          </w:p>
        </w:tc>
      </w:tr>
      <w:tr w:rsidR="00CE2DA2" w:rsidRPr="00317AA7" w14:paraId="7EA280D6" w14:textId="77777777">
        <w:tc>
          <w:tcPr>
            <w:tcW w:w="2400" w:type="dxa"/>
            <w:shd w:val="clear" w:color="auto" w:fill="F2F2F2"/>
            <w:tcMar>
              <w:top w:w="60" w:type="dxa"/>
              <w:left w:w="100" w:type="dxa"/>
              <w:bottom w:w="60" w:type="dxa"/>
              <w:right w:w="100" w:type="dxa"/>
            </w:tcMar>
          </w:tcPr>
          <w:p w14:paraId="397FEC8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BA186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10B60AD2" w14:textId="77777777">
        <w:tc>
          <w:tcPr>
            <w:tcW w:w="2400" w:type="dxa"/>
            <w:shd w:val="clear" w:color="auto" w:fill="F2F2F2"/>
            <w:tcMar>
              <w:top w:w="60" w:type="dxa"/>
              <w:left w:w="100" w:type="dxa"/>
              <w:bottom w:w="60" w:type="dxa"/>
              <w:right w:w="100" w:type="dxa"/>
            </w:tcMar>
          </w:tcPr>
          <w:p w14:paraId="3B35997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124C35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aéreo con posición conocida.</w:t>
            </w:r>
          </w:p>
        </w:tc>
      </w:tr>
      <w:tr w:rsidR="00CE2DA2" w:rsidRPr="00317AA7" w14:paraId="7830C40E" w14:textId="77777777">
        <w:tc>
          <w:tcPr>
            <w:tcW w:w="2400" w:type="dxa"/>
            <w:shd w:val="clear" w:color="auto" w:fill="F2F2F2"/>
            <w:tcMar>
              <w:top w:w="60" w:type="dxa"/>
              <w:left w:w="100" w:type="dxa"/>
              <w:bottom w:w="60" w:type="dxa"/>
              <w:right w:w="100" w:type="dxa"/>
            </w:tcMar>
          </w:tcPr>
          <w:p w14:paraId="32C9E3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62944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geográficamente la distribución de sus cargas aéreas.</w:t>
            </w:r>
          </w:p>
        </w:tc>
      </w:tr>
      <w:tr w:rsidR="00CE2DA2" w:rsidRPr="00317AA7" w14:paraId="3860EE12" w14:textId="77777777">
        <w:tc>
          <w:tcPr>
            <w:tcW w:w="2400" w:type="dxa"/>
            <w:shd w:val="clear" w:color="auto" w:fill="F2F2F2"/>
            <w:tcMar>
              <w:top w:w="60" w:type="dxa"/>
              <w:left w:w="100" w:type="dxa"/>
              <w:bottom w:w="60" w:type="dxa"/>
              <w:right w:w="100" w:type="dxa"/>
            </w:tcMar>
          </w:tcPr>
          <w:p w14:paraId="01DE3B3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59320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EA5894E" w14:textId="77777777">
        <w:tc>
          <w:tcPr>
            <w:tcW w:w="2400" w:type="dxa"/>
            <w:shd w:val="clear" w:color="auto" w:fill="F2F2F2"/>
            <w:tcMar>
              <w:top w:w="60" w:type="dxa"/>
              <w:left w:w="100" w:type="dxa"/>
              <w:bottom w:w="60" w:type="dxa"/>
              <w:right w:w="100" w:type="dxa"/>
            </w:tcMar>
          </w:tcPr>
          <w:p w14:paraId="7999F7F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2CA86E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F91632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RF-18: Información emergente en marcadores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8D959E" w14:textId="77777777">
        <w:tc>
          <w:tcPr>
            <w:tcW w:w="2400" w:type="dxa"/>
            <w:shd w:val="clear" w:color="auto" w:fill="F2F2F2"/>
            <w:tcMar>
              <w:top w:w="60" w:type="dxa"/>
              <w:left w:w="100" w:type="dxa"/>
              <w:bottom w:w="60" w:type="dxa"/>
              <w:right w:w="100" w:type="dxa"/>
            </w:tcMar>
          </w:tcPr>
          <w:p w14:paraId="4796C0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D6361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Cada marcador de los mapas debe exponer, al posarse el cursor sobre él o al seleccionarlo, la orden de compra, el material, el proveedor, la ETA, la fecha proyectada de disponibilidad y el estado del pedido asociado.</w:t>
            </w:r>
          </w:p>
        </w:tc>
      </w:tr>
      <w:tr w:rsidR="00CE2DA2" w:rsidRPr="00317AA7" w14:paraId="3CA426C5" w14:textId="77777777">
        <w:tc>
          <w:tcPr>
            <w:tcW w:w="2400" w:type="dxa"/>
            <w:shd w:val="clear" w:color="auto" w:fill="F2F2F2"/>
            <w:tcMar>
              <w:top w:w="60" w:type="dxa"/>
              <w:left w:w="100" w:type="dxa"/>
              <w:bottom w:w="60" w:type="dxa"/>
              <w:right w:w="100" w:type="dxa"/>
            </w:tcMar>
          </w:tcPr>
          <w:p w14:paraId="1AB1AD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D47F58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7B683B7D" w14:textId="77777777">
        <w:tc>
          <w:tcPr>
            <w:tcW w:w="2400" w:type="dxa"/>
            <w:shd w:val="clear" w:color="auto" w:fill="F2F2F2"/>
            <w:tcMar>
              <w:top w:w="60" w:type="dxa"/>
              <w:left w:w="100" w:type="dxa"/>
              <w:bottom w:w="60" w:type="dxa"/>
              <w:right w:w="100" w:type="dxa"/>
            </w:tcMar>
          </w:tcPr>
          <w:p w14:paraId="007039C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C650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mapa muestra al menos un marcador.</w:t>
            </w:r>
          </w:p>
        </w:tc>
      </w:tr>
      <w:tr w:rsidR="00CE2DA2" w:rsidRPr="00317AA7" w14:paraId="6B8610E1" w14:textId="77777777">
        <w:tc>
          <w:tcPr>
            <w:tcW w:w="2400" w:type="dxa"/>
            <w:shd w:val="clear" w:color="auto" w:fill="F2F2F2"/>
            <w:tcMar>
              <w:top w:w="60" w:type="dxa"/>
              <w:left w:w="100" w:type="dxa"/>
              <w:bottom w:w="60" w:type="dxa"/>
              <w:right w:w="100" w:type="dxa"/>
            </w:tcMar>
          </w:tcPr>
          <w:p w14:paraId="68BF1BA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693B4A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obtiene el contexto del pedido sin abandonar la vista cartográfica.</w:t>
            </w:r>
          </w:p>
        </w:tc>
      </w:tr>
      <w:tr w:rsidR="00CE2DA2" w:rsidRPr="00317AA7" w14:paraId="0417264F" w14:textId="77777777">
        <w:tc>
          <w:tcPr>
            <w:tcW w:w="2400" w:type="dxa"/>
            <w:shd w:val="clear" w:color="auto" w:fill="F2F2F2"/>
            <w:tcMar>
              <w:top w:w="60" w:type="dxa"/>
              <w:left w:w="100" w:type="dxa"/>
              <w:bottom w:w="60" w:type="dxa"/>
              <w:right w:w="100" w:type="dxa"/>
            </w:tcMar>
          </w:tcPr>
          <w:p w14:paraId="11427A0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E4F52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36EB05E4" w14:textId="77777777">
        <w:tc>
          <w:tcPr>
            <w:tcW w:w="2400" w:type="dxa"/>
            <w:shd w:val="clear" w:color="auto" w:fill="F2F2F2"/>
            <w:tcMar>
              <w:top w:w="60" w:type="dxa"/>
              <w:left w:w="100" w:type="dxa"/>
              <w:bottom w:w="60" w:type="dxa"/>
              <w:right w:w="100" w:type="dxa"/>
            </w:tcMar>
          </w:tcPr>
          <w:p w14:paraId="07254F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D6717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714DC4F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RF-19: Sistema de filtros transversales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C1A0299" w14:textId="77777777">
        <w:tc>
          <w:tcPr>
            <w:tcW w:w="2400" w:type="dxa"/>
            <w:shd w:val="clear" w:color="auto" w:fill="F2F2F2"/>
            <w:tcMar>
              <w:top w:w="60" w:type="dxa"/>
              <w:left w:w="100" w:type="dxa"/>
              <w:bottom w:w="60" w:type="dxa"/>
              <w:right w:w="100" w:type="dxa"/>
            </w:tcMar>
          </w:tcPr>
          <w:p w14:paraId="4F89CFA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4EF51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ofrecer filtros por orden de compra, proveedor, material, vía de transporte, estado y destino. Los filtros deben aplicarse simultáneamente a la cinta de KPIs, a la grilla y a ambos mapas, manteniendo la coherencia de la vista.</w:t>
            </w:r>
          </w:p>
        </w:tc>
      </w:tr>
      <w:tr w:rsidR="00CE2DA2" w:rsidRPr="00317AA7" w14:paraId="6BF91EA6" w14:textId="77777777">
        <w:tc>
          <w:tcPr>
            <w:tcW w:w="2400" w:type="dxa"/>
            <w:shd w:val="clear" w:color="auto" w:fill="F2F2F2"/>
            <w:tcMar>
              <w:top w:w="60" w:type="dxa"/>
              <w:left w:w="100" w:type="dxa"/>
              <w:bottom w:w="60" w:type="dxa"/>
              <w:right w:w="100" w:type="dxa"/>
            </w:tcMar>
          </w:tcPr>
          <w:p w14:paraId="2CE25B0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2CC202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5C709E0F" w14:textId="77777777">
        <w:tc>
          <w:tcPr>
            <w:tcW w:w="2400" w:type="dxa"/>
            <w:shd w:val="clear" w:color="auto" w:fill="F2F2F2"/>
            <w:tcMar>
              <w:top w:w="60" w:type="dxa"/>
              <w:left w:w="100" w:type="dxa"/>
              <w:bottom w:w="60" w:type="dxa"/>
              <w:right w:w="100" w:type="dxa"/>
            </w:tcMar>
          </w:tcPr>
          <w:p w14:paraId="4F19BAE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923C6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w:t>
            </w:r>
          </w:p>
        </w:tc>
      </w:tr>
      <w:tr w:rsidR="00CE2DA2" w:rsidRPr="00317AA7" w14:paraId="17F4CE83" w14:textId="77777777">
        <w:tc>
          <w:tcPr>
            <w:tcW w:w="2400" w:type="dxa"/>
            <w:shd w:val="clear" w:color="auto" w:fill="F2F2F2"/>
            <w:tcMar>
              <w:top w:w="60" w:type="dxa"/>
              <w:left w:w="100" w:type="dxa"/>
              <w:bottom w:w="60" w:type="dxa"/>
              <w:right w:w="100" w:type="dxa"/>
            </w:tcMar>
          </w:tcPr>
          <w:p w14:paraId="676C830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8EBC5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componentes del dashboard reflejan el subconjunto de pedidos seleccionado.</w:t>
            </w:r>
          </w:p>
        </w:tc>
      </w:tr>
      <w:tr w:rsidR="00CE2DA2" w:rsidRPr="00317AA7" w14:paraId="3C8D35D6" w14:textId="77777777">
        <w:tc>
          <w:tcPr>
            <w:tcW w:w="2400" w:type="dxa"/>
            <w:shd w:val="clear" w:color="auto" w:fill="F2F2F2"/>
            <w:tcMar>
              <w:top w:w="60" w:type="dxa"/>
              <w:left w:w="100" w:type="dxa"/>
              <w:bottom w:w="60" w:type="dxa"/>
              <w:right w:w="100" w:type="dxa"/>
            </w:tcMar>
          </w:tcPr>
          <w:p w14:paraId="25A332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0C910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7F43F010" w14:textId="77777777">
        <w:tc>
          <w:tcPr>
            <w:tcW w:w="2400" w:type="dxa"/>
            <w:shd w:val="clear" w:color="auto" w:fill="F2F2F2"/>
            <w:tcMar>
              <w:top w:w="60" w:type="dxa"/>
              <w:left w:w="100" w:type="dxa"/>
              <w:bottom w:w="60" w:type="dxa"/>
              <w:right w:w="100" w:type="dxa"/>
            </w:tcMar>
          </w:tcPr>
          <w:p w14:paraId="10571E3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92E46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6C5DA50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RF-20: Indicación de frescura de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683BFE" w14:textId="77777777">
        <w:tc>
          <w:tcPr>
            <w:tcW w:w="2400" w:type="dxa"/>
            <w:shd w:val="clear" w:color="auto" w:fill="F2F2F2"/>
            <w:tcMar>
              <w:top w:w="60" w:type="dxa"/>
              <w:left w:w="100" w:type="dxa"/>
              <w:bottom w:w="60" w:type="dxa"/>
              <w:right w:w="100" w:type="dxa"/>
            </w:tcMar>
          </w:tcPr>
          <w:p w14:paraId="5F8FCF5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B11E4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encabezado del dashboard debe mostrar la fecha y hora de la última actualización y el estado de sincronización con las fuentes externas, de modo que el usuario pueda juzgar la vigencia de la información que consulta.</w:t>
            </w:r>
          </w:p>
        </w:tc>
      </w:tr>
      <w:tr w:rsidR="00CE2DA2" w:rsidRPr="00317AA7" w14:paraId="622B27CE" w14:textId="77777777">
        <w:tc>
          <w:tcPr>
            <w:tcW w:w="2400" w:type="dxa"/>
            <w:shd w:val="clear" w:color="auto" w:fill="F2F2F2"/>
            <w:tcMar>
              <w:top w:w="60" w:type="dxa"/>
              <w:left w:w="100" w:type="dxa"/>
              <w:bottom w:w="60" w:type="dxa"/>
              <w:right w:w="100" w:type="dxa"/>
            </w:tcMar>
          </w:tcPr>
          <w:p w14:paraId="01D25FD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EB4339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7A442DE" w14:textId="77777777">
        <w:tc>
          <w:tcPr>
            <w:tcW w:w="2400" w:type="dxa"/>
            <w:shd w:val="clear" w:color="auto" w:fill="F2F2F2"/>
            <w:tcMar>
              <w:top w:w="60" w:type="dxa"/>
              <w:left w:w="100" w:type="dxa"/>
              <w:bottom w:w="60" w:type="dxa"/>
              <w:right w:w="100" w:type="dxa"/>
            </w:tcMar>
          </w:tcPr>
          <w:p w14:paraId="2CA2EA6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107E9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ha ejecutado al menos un ciclo de consulta.</w:t>
            </w:r>
          </w:p>
        </w:tc>
      </w:tr>
      <w:tr w:rsidR="00CE2DA2" w:rsidRPr="00317AA7" w14:paraId="719E89ED" w14:textId="77777777">
        <w:tc>
          <w:tcPr>
            <w:tcW w:w="2400" w:type="dxa"/>
            <w:shd w:val="clear" w:color="auto" w:fill="F2F2F2"/>
            <w:tcMar>
              <w:top w:w="60" w:type="dxa"/>
              <w:left w:w="100" w:type="dxa"/>
              <w:bottom w:w="60" w:type="dxa"/>
              <w:right w:w="100" w:type="dxa"/>
            </w:tcMar>
          </w:tcPr>
          <w:p w14:paraId="63A6083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3968C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antigüedad de los datos presentados.</w:t>
            </w:r>
          </w:p>
        </w:tc>
      </w:tr>
      <w:tr w:rsidR="00CE2DA2" w:rsidRPr="00317AA7" w14:paraId="567DE124" w14:textId="77777777">
        <w:tc>
          <w:tcPr>
            <w:tcW w:w="2400" w:type="dxa"/>
            <w:shd w:val="clear" w:color="auto" w:fill="F2F2F2"/>
            <w:tcMar>
              <w:top w:w="60" w:type="dxa"/>
              <w:left w:w="100" w:type="dxa"/>
              <w:bottom w:w="60" w:type="dxa"/>
              <w:right w:w="100" w:type="dxa"/>
            </w:tcMar>
          </w:tcPr>
          <w:p w14:paraId="6A1E503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7F75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43F1400D" w14:textId="77777777">
        <w:tc>
          <w:tcPr>
            <w:tcW w:w="2400" w:type="dxa"/>
            <w:shd w:val="clear" w:color="auto" w:fill="F2F2F2"/>
            <w:tcMar>
              <w:top w:w="60" w:type="dxa"/>
              <w:left w:w="100" w:type="dxa"/>
              <w:bottom w:w="60" w:type="dxa"/>
              <w:right w:w="100" w:type="dxa"/>
            </w:tcMar>
          </w:tcPr>
          <w:p w14:paraId="36330E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FC5D7B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193311E2" w14:textId="77777777" w:rsidR="00CE2DA2" w:rsidRPr="00317AA7" w:rsidRDefault="00D91203">
      <w:pPr>
        <w:pStyle w:val="Ttulo2"/>
        <w:rPr>
          <w:rFonts w:ascii="Times New Roman" w:hAnsi="Times New Roman" w:cs="Times New Roman"/>
          <w:color w:val="auto"/>
        </w:rPr>
      </w:pPr>
      <w:bookmarkStart w:id="21" w:name="_Toc237262845"/>
      <w:r>
        <w:rPr>
          <w:rFonts w:ascii="Times New Roman" w:hAnsi="Times New Roman" w:cs="Times New Roman"/>
          <w:color w:val="auto"/>
        </w:rPr>
        <w:t>4.6 Historial de tracking</w:t>
      </w:r>
      <w:bookmarkEnd w:id="21"/>
    </w:p>
    <w:p w14:paraId="5741D8CD"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RF-21: Registro del historial de posiciones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DAB3B75" w14:textId="77777777">
        <w:tc>
          <w:tcPr>
            <w:tcW w:w="2400" w:type="dxa"/>
            <w:shd w:val="clear" w:color="auto" w:fill="F2F2F2"/>
            <w:tcMar>
              <w:top w:w="60" w:type="dxa"/>
              <w:left w:w="100" w:type="dxa"/>
              <w:bottom w:w="60" w:type="dxa"/>
              <w:right w:w="100" w:type="dxa"/>
            </w:tcMar>
          </w:tcPr>
          <w:p w14:paraId="1427182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AD738C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almacenar, por cada lectura exitosa de una API externa, un registro histórico con la fecha de captura, latitud, longitud, velocidad, rumbo, estado crudo reportado por la fuente y el payload completo de la respuesta, para auditoría posterior.</w:t>
            </w:r>
          </w:p>
        </w:tc>
      </w:tr>
      <w:tr w:rsidR="00CE2DA2" w:rsidRPr="00317AA7" w14:paraId="555C7AA1" w14:textId="77777777">
        <w:tc>
          <w:tcPr>
            <w:tcW w:w="2400" w:type="dxa"/>
            <w:shd w:val="clear" w:color="auto" w:fill="F2F2F2"/>
            <w:tcMar>
              <w:top w:w="60" w:type="dxa"/>
              <w:left w:w="100" w:type="dxa"/>
              <w:bottom w:w="60" w:type="dxa"/>
              <w:right w:w="100" w:type="dxa"/>
            </w:tcMar>
          </w:tcPr>
          <w:p w14:paraId="5D14E4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5958D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2DEA8B4" w14:textId="77777777">
        <w:tc>
          <w:tcPr>
            <w:tcW w:w="2400" w:type="dxa"/>
            <w:shd w:val="clear" w:color="auto" w:fill="F2F2F2"/>
            <w:tcMar>
              <w:top w:w="60" w:type="dxa"/>
              <w:left w:w="100" w:type="dxa"/>
              <w:bottom w:w="60" w:type="dxa"/>
              <w:right w:w="100" w:type="dxa"/>
            </w:tcMar>
          </w:tcPr>
          <w:p w14:paraId="57D950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6F2FC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obtenido una lectura válida de una API externa.</w:t>
            </w:r>
          </w:p>
        </w:tc>
      </w:tr>
      <w:tr w:rsidR="00CE2DA2" w:rsidRPr="00317AA7" w14:paraId="510BF188" w14:textId="77777777">
        <w:tc>
          <w:tcPr>
            <w:tcW w:w="2400" w:type="dxa"/>
            <w:shd w:val="clear" w:color="auto" w:fill="F2F2F2"/>
            <w:tcMar>
              <w:top w:w="60" w:type="dxa"/>
              <w:left w:w="100" w:type="dxa"/>
              <w:bottom w:w="60" w:type="dxa"/>
              <w:right w:w="100" w:type="dxa"/>
            </w:tcMar>
          </w:tcPr>
          <w:p w14:paraId="62FAE49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E2087F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historial del pedido incorpora un nuevo registro inmutable.</w:t>
            </w:r>
          </w:p>
        </w:tc>
      </w:tr>
      <w:tr w:rsidR="00CE2DA2" w:rsidRPr="00317AA7" w14:paraId="0FA0E9EF" w14:textId="77777777">
        <w:tc>
          <w:tcPr>
            <w:tcW w:w="2400" w:type="dxa"/>
            <w:shd w:val="clear" w:color="auto" w:fill="F2F2F2"/>
            <w:tcMar>
              <w:top w:w="60" w:type="dxa"/>
              <w:left w:w="100" w:type="dxa"/>
              <w:bottom w:w="60" w:type="dxa"/>
              <w:right w:w="100" w:type="dxa"/>
            </w:tcMar>
          </w:tcPr>
          <w:p w14:paraId="523DC5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6BF2FF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8A7A143" w14:textId="77777777">
        <w:tc>
          <w:tcPr>
            <w:tcW w:w="2400" w:type="dxa"/>
            <w:shd w:val="clear" w:color="auto" w:fill="F2F2F2"/>
            <w:tcMar>
              <w:top w:w="60" w:type="dxa"/>
              <w:left w:w="100" w:type="dxa"/>
              <w:bottom w:w="60" w:type="dxa"/>
              <w:right w:w="100" w:type="dxa"/>
            </w:tcMar>
          </w:tcPr>
          <w:p w14:paraId="2B3B345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952CD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71E23FE8" w14:textId="77777777" w:rsidR="00CE2DA2" w:rsidRPr="00317AA7" w:rsidRDefault="00D91203" w:rsidP="00762ED0">
      <w:pPr>
        <w:keepNext/>
        <w:spacing w:before="260" w:after="100"/>
        <w:ind w:left="708" w:hanging="708"/>
        <w:rPr>
          <w:rFonts w:ascii="Times New Roman" w:hAnsi="Times New Roman" w:cs="Times New Roman"/>
          <w:color w:val="auto"/>
        </w:rPr>
      </w:pPr>
      <w:r>
        <w:rPr>
          <w:rFonts w:ascii="Times New Roman" w:hAnsi="Times New Roman" w:cs="Times New Roman"/>
          <w:b/>
          <w:bCs/>
          <w:color w:val="auto"/>
        </w:rPr>
        <w:t>RF-22: Consulta del historial y del trayecto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419B735" w14:textId="77777777">
        <w:tc>
          <w:tcPr>
            <w:tcW w:w="2400" w:type="dxa"/>
            <w:shd w:val="clear" w:color="auto" w:fill="F2F2F2"/>
            <w:tcMar>
              <w:top w:w="60" w:type="dxa"/>
              <w:left w:w="100" w:type="dxa"/>
              <w:bottom w:w="60" w:type="dxa"/>
              <w:right w:w="100" w:type="dxa"/>
            </w:tcMar>
          </w:tcPr>
          <w:p w14:paraId="0FBAACC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78428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consultar la secuencia histórica de posiciones de un pedido y representar su trayecto sobre el mapa correspondiente.</w:t>
            </w:r>
          </w:p>
        </w:tc>
      </w:tr>
      <w:tr w:rsidR="00CE2DA2" w:rsidRPr="00317AA7" w14:paraId="74112FC4" w14:textId="77777777">
        <w:tc>
          <w:tcPr>
            <w:tcW w:w="2400" w:type="dxa"/>
            <w:shd w:val="clear" w:color="auto" w:fill="F2F2F2"/>
            <w:tcMar>
              <w:top w:w="60" w:type="dxa"/>
              <w:left w:w="100" w:type="dxa"/>
              <w:bottom w:w="60" w:type="dxa"/>
              <w:right w:w="100" w:type="dxa"/>
            </w:tcMar>
          </w:tcPr>
          <w:p w14:paraId="1996733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BCE4A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Usuario de Compras</w:t>
            </w:r>
          </w:p>
        </w:tc>
      </w:tr>
      <w:tr w:rsidR="00CE2DA2" w:rsidRPr="00317AA7" w14:paraId="6C618623" w14:textId="77777777">
        <w:tc>
          <w:tcPr>
            <w:tcW w:w="2400" w:type="dxa"/>
            <w:shd w:val="clear" w:color="auto" w:fill="F2F2F2"/>
            <w:tcMar>
              <w:top w:w="60" w:type="dxa"/>
              <w:left w:w="100" w:type="dxa"/>
              <w:bottom w:w="60" w:type="dxa"/>
              <w:right w:w="100" w:type="dxa"/>
            </w:tcMar>
          </w:tcPr>
          <w:p w14:paraId="52625E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2BDF4B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al menos dos registros en su historial.</w:t>
            </w:r>
          </w:p>
        </w:tc>
      </w:tr>
      <w:tr w:rsidR="00CE2DA2" w:rsidRPr="00317AA7" w14:paraId="3330E00D" w14:textId="77777777">
        <w:tc>
          <w:tcPr>
            <w:tcW w:w="2400" w:type="dxa"/>
            <w:shd w:val="clear" w:color="auto" w:fill="F2F2F2"/>
            <w:tcMar>
              <w:top w:w="60" w:type="dxa"/>
              <w:left w:w="100" w:type="dxa"/>
              <w:bottom w:w="60" w:type="dxa"/>
              <w:right w:w="100" w:type="dxa"/>
            </w:tcMar>
          </w:tcPr>
          <w:p w14:paraId="7463EA5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823098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la evolución de la carga a lo largo del tiempo.</w:t>
            </w:r>
          </w:p>
        </w:tc>
      </w:tr>
      <w:tr w:rsidR="00CE2DA2" w:rsidRPr="00317AA7" w14:paraId="1EED2365" w14:textId="77777777">
        <w:tc>
          <w:tcPr>
            <w:tcW w:w="2400" w:type="dxa"/>
            <w:shd w:val="clear" w:color="auto" w:fill="F2F2F2"/>
            <w:tcMar>
              <w:top w:w="60" w:type="dxa"/>
              <w:left w:w="100" w:type="dxa"/>
              <w:bottom w:w="60" w:type="dxa"/>
              <w:right w:w="100" w:type="dxa"/>
            </w:tcMar>
          </w:tcPr>
          <w:p w14:paraId="7510170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55167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5096445F" w14:textId="77777777">
        <w:tc>
          <w:tcPr>
            <w:tcW w:w="2400" w:type="dxa"/>
            <w:shd w:val="clear" w:color="auto" w:fill="F2F2F2"/>
            <w:tcMar>
              <w:top w:w="60" w:type="dxa"/>
              <w:left w:w="100" w:type="dxa"/>
              <w:bottom w:w="60" w:type="dxa"/>
              <w:right w:w="100" w:type="dxa"/>
            </w:tcMar>
          </w:tcPr>
          <w:p w14:paraId="0A7390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E6B97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2FC9CD59" w14:textId="77777777" w:rsidR="00CE2DA2" w:rsidRPr="00317AA7" w:rsidRDefault="00D91203">
      <w:pPr>
        <w:pStyle w:val="Ttulo2"/>
        <w:rPr>
          <w:rFonts w:ascii="Times New Roman" w:hAnsi="Times New Roman" w:cs="Times New Roman"/>
          <w:color w:val="auto"/>
        </w:rPr>
      </w:pPr>
      <w:bookmarkStart w:id="22" w:name="_Toc237262846"/>
      <w:r>
        <w:rPr>
          <w:rFonts w:ascii="Times New Roman" w:hAnsi="Times New Roman" w:cs="Times New Roman"/>
          <w:color w:val="auto"/>
        </w:rPr>
        <w:t>4.7 Administración de datos maestros</w:t>
      </w:r>
      <w:bookmarkEnd w:id="22"/>
    </w:p>
    <w:p w14:paraId="6BD7AB3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RF-23: Mantenimiento del maestro de destinos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5E13ECE" w14:textId="77777777">
        <w:tc>
          <w:tcPr>
            <w:tcW w:w="2400" w:type="dxa"/>
            <w:shd w:val="clear" w:color="auto" w:fill="F2F2F2"/>
            <w:tcMar>
              <w:top w:w="60" w:type="dxa"/>
              <w:left w:w="100" w:type="dxa"/>
              <w:bottom w:w="60" w:type="dxa"/>
              <w:right w:w="100" w:type="dxa"/>
            </w:tcMar>
          </w:tcPr>
          <w:p w14:paraId="4BCF6B2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F4F07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crear, consultar, modificar y desactivar destinos (puertos y aeropuertos), registrando su vía de transporte asociada, su lead time en días conforme a RN-12 y las observaciones logísticas pertinentes.</w:t>
            </w:r>
          </w:p>
        </w:tc>
      </w:tr>
      <w:tr w:rsidR="00CE2DA2" w:rsidRPr="00317AA7" w14:paraId="6303693B" w14:textId="77777777">
        <w:tc>
          <w:tcPr>
            <w:tcW w:w="2400" w:type="dxa"/>
            <w:shd w:val="clear" w:color="auto" w:fill="F2F2F2"/>
            <w:tcMar>
              <w:top w:w="60" w:type="dxa"/>
              <w:left w:w="100" w:type="dxa"/>
              <w:bottom w:w="60" w:type="dxa"/>
              <w:right w:w="100" w:type="dxa"/>
            </w:tcMar>
          </w:tcPr>
          <w:p w14:paraId="6D33407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23D41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Administrador del sistema</w:t>
            </w:r>
          </w:p>
        </w:tc>
      </w:tr>
      <w:tr w:rsidR="00CE2DA2" w:rsidRPr="00317AA7" w14:paraId="6E98ED53" w14:textId="77777777">
        <w:tc>
          <w:tcPr>
            <w:tcW w:w="2400" w:type="dxa"/>
            <w:shd w:val="clear" w:color="auto" w:fill="F2F2F2"/>
            <w:tcMar>
              <w:top w:w="60" w:type="dxa"/>
              <w:left w:w="100" w:type="dxa"/>
              <w:bottom w:w="60" w:type="dxa"/>
              <w:right w:w="100" w:type="dxa"/>
            </w:tcMar>
          </w:tcPr>
          <w:p w14:paraId="14E8E1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523199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permisos de mantenimiento de maestros.</w:t>
            </w:r>
          </w:p>
        </w:tc>
      </w:tr>
      <w:tr w:rsidR="00CE2DA2" w:rsidRPr="00317AA7" w14:paraId="542E12A0" w14:textId="77777777">
        <w:tc>
          <w:tcPr>
            <w:tcW w:w="2400" w:type="dxa"/>
            <w:shd w:val="clear" w:color="auto" w:fill="F2F2F2"/>
            <w:tcMar>
              <w:top w:w="60" w:type="dxa"/>
              <w:left w:w="100" w:type="dxa"/>
              <w:bottom w:w="60" w:type="dxa"/>
              <w:right w:w="100" w:type="dxa"/>
            </w:tcMar>
          </w:tcPr>
          <w:p w14:paraId="7BD569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54070A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maestro de destinos refleja los valores vigentes. Los pedidos afectados se recalculan (RF-12).</w:t>
            </w:r>
          </w:p>
        </w:tc>
      </w:tr>
      <w:tr w:rsidR="00CE2DA2" w:rsidRPr="00317AA7" w14:paraId="6A53497D" w14:textId="77777777">
        <w:tc>
          <w:tcPr>
            <w:tcW w:w="2400" w:type="dxa"/>
            <w:shd w:val="clear" w:color="auto" w:fill="F2F2F2"/>
            <w:tcMar>
              <w:top w:w="60" w:type="dxa"/>
              <w:left w:w="100" w:type="dxa"/>
              <w:bottom w:w="60" w:type="dxa"/>
              <w:right w:w="100" w:type="dxa"/>
            </w:tcMar>
          </w:tcPr>
          <w:p w14:paraId="068D762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BFB14A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D25C174" w14:textId="77777777">
        <w:tc>
          <w:tcPr>
            <w:tcW w:w="2400" w:type="dxa"/>
            <w:shd w:val="clear" w:color="auto" w:fill="F2F2F2"/>
            <w:tcMar>
              <w:top w:w="60" w:type="dxa"/>
              <w:left w:w="100" w:type="dxa"/>
              <w:bottom w:w="60" w:type="dxa"/>
              <w:right w:w="100" w:type="dxa"/>
            </w:tcMar>
          </w:tcPr>
          <w:p w14:paraId="18373AE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9DC22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0D825DD8" w14:textId="77777777" w:rsidR="00434765" w:rsidRPr="00317AA7" w:rsidRDefault="00434765" w:rsidP="00434765">
      <w:pPr>
        <w:keepNext/>
        <w:spacing w:before="260" w:after="100"/>
        <w:rPr>
          <w:rFonts w:ascii="Times New Roman" w:hAnsi="Times New Roman" w:cs="Times New Roman"/>
          <w:color w:val="auto"/>
        </w:rPr>
      </w:pPr>
      <w:r>
        <w:rPr>
          <w:rFonts w:ascii="Times New Roman" w:hAnsi="Times New Roman" w:cs="Times New Roman"/>
          <w:b/>
          <w:bCs/>
          <w:color w:val="auto"/>
        </w:rPr>
        <w:t>RF-24: Parametrización de umbrales y credenciales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4765" w:rsidRPr="00317AA7" w14:paraId="4F6B56C1" w14:textId="77777777" w:rsidTr="004256C5">
        <w:tc>
          <w:tcPr>
            <w:tcW w:w="2400" w:type="dxa"/>
            <w:shd w:val="clear" w:color="auto" w:fill="F2F2F2"/>
            <w:tcMar>
              <w:top w:w="60" w:type="dxa"/>
              <w:left w:w="100" w:type="dxa"/>
              <w:bottom w:w="60" w:type="dxa"/>
              <w:right w:w="100" w:type="dxa"/>
            </w:tcMar>
          </w:tcPr>
          <w:p w14:paraId="5D56D58C"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74B50E5"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El sistema debe mantener fuera del código fuente los parámetros de configuración: credenciales de las APIs, frecuencias de consulta y umbrales de los estados logísticos, conforme al requerimiento de mantenibilidad del documento técnico-funcional.</w:t>
            </w:r>
          </w:p>
        </w:tc>
      </w:tr>
      <w:tr w:rsidR="00434765" w:rsidRPr="00317AA7" w14:paraId="75478DC7" w14:textId="77777777" w:rsidTr="004256C5">
        <w:tc>
          <w:tcPr>
            <w:tcW w:w="2400" w:type="dxa"/>
            <w:shd w:val="clear" w:color="auto" w:fill="F2F2F2"/>
            <w:tcMar>
              <w:top w:w="60" w:type="dxa"/>
              <w:left w:w="100" w:type="dxa"/>
              <w:bottom w:w="60" w:type="dxa"/>
              <w:right w:w="100" w:type="dxa"/>
            </w:tcMar>
          </w:tcPr>
          <w:p w14:paraId="63EC03BA"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057D9B3"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Administrador del sistema</w:t>
            </w:r>
          </w:p>
        </w:tc>
      </w:tr>
      <w:tr w:rsidR="00434765" w:rsidRPr="00317AA7" w14:paraId="58F7B8D4" w14:textId="77777777" w:rsidTr="004256C5">
        <w:tc>
          <w:tcPr>
            <w:tcW w:w="2400" w:type="dxa"/>
            <w:shd w:val="clear" w:color="auto" w:fill="F2F2F2"/>
            <w:tcMar>
              <w:top w:w="60" w:type="dxa"/>
              <w:left w:w="100" w:type="dxa"/>
              <w:bottom w:w="60" w:type="dxa"/>
              <w:right w:w="100" w:type="dxa"/>
            </w:tcMar>
          </w:tcPr>
          <w:p w14:paraId="5516FEE8"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E3DEE9C"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El usuario cuenta con perfil de administración.</w:t>
            </w:r>
          </w:p>
        </w:tc>
      </w:tr>
      <w:tr w:rsidR="00434765" w:rsidRPr="00317AA7" w14:paraId="7F86A072" w14:textId="77777777" w:rsidTr="004256C5">
        <w:tc>
          <w:tcPr>
            <w:tcW w:w="2400" w:type="dxa"/>
            <w:shd w:val="clear" w:color="auto" w:fill="F2F2F2"/>
            <w:tcMar>
              <w:top w:w="60" w:type="dxa"/>
              <w:left w:w="100" w:type="dxa"/>
              <w:bottom w:w="60" w:type="dxa"/>
              <w:right w:w="100" w:type="dxa"/>
            </w:tcMar>
          </w:tcPr>
          <w:p w14:paraId="327A750F"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EE98456"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Los parámetros quedan vigentes sin requerir un nuevo despliegue del código.</w:t>
            </w:r>
          </w:p>
        </w:tc>
      </w:tr>
      <w:tr w:rsidR="00434765" w:rsidRPr="00317AA7" w14:paraId="22488C13" w14:textId="77777777" w:rsidTr="004256C5">
        <w:tc>
          <w:tcPr>
            <w:tcW w:w="2400" w:type="dxa"/>
            <w:shd w:val="clear" w:color="auto" w:fill="F2F2F2"/>
            <w:tcMar>
              <w:top w:w="60" w:type="dxa"/>
              <w:left w:w="100" w:type="dxa"/>
              <w:bottom w:w="60" w:type="dxa"/>
              <w:right w:w="100" w:type="dxa"/>
            </w:tcMar>
          </w:tcPr>
          <w:p w14:paraId="6AC62102"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DED43A2"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Media</w:t>
            </w:r>
          </w:p>
        </w:tc>
      </w:tr>
      <w:tr w:rsidR="00434765" w:rsidRPr="00317AA7" w14:paraId="13121136" w14:textId="77777777" w:rsidTr="004256C5">
        <w:tc>
          <w:tcPr>
            <w:tcW w:w="2400" w:type="dxa"/>
            <w:shd w:val="clear" w:color="auto" w:fill="F2F2F2"/>
            <w:tcMar>
              <w:top w:w="60" w:type="dxa"/>
              <w:left w:w="100" w:type="dxa"/>
              <w:bottom w:w="60" w:type="dxa"/>
              <w:right w:w="100" w:type="dxa"/>
            </w:tcMar>
          </w:tcPr>
          <w:p w14:paraId="54326FCC"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DF7B61C"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OE2</w:t>
            </w:r>
          </w:p>
        </w:tc>
      </w:tr>
    </w:tbl>
    <w:p w14:paraId="167B268B" w14:textId="77777777" w:rsidR="00434765" w:rsidRDefault="00434765">
      <w:pPr>
        <w:keepNext/>
        <w:spacing w:before="260" w:after="100"/>
        <w:rPr>
          <w:rFonts w:ascii="Times New Roman" w:hAnsi="Times New Roman" w:cs="Times New Roman"/>
          <w:b/>
          <w:bCs/>
          <w:color w:val="auto"/>
        </w:rPr>
      </w:pPr>
    </w:p>
    <w:p w14:paraId="7D39CCD8"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La priorización asignada a los requerimientos de esta sección fue revisada con el supervisor de empresa durante el levantamiento de requerimientos y quedó confirmada en su totalidad: RF-18 y RF-22 se mantienen en prioridad Media. El supervisor precisó además que las posiciones GPS deben conservarse para permitir la reconstrucción de la ruta histórica del pedido, necesidad que recogen RF-21 y RF-22.</w:t>
      </w:r>
    </w:p>
    <w:p w14:paraId="2D7483BD" w14:textId="77777777" w:rsidR="00CE2DA2" w:rsidRPr="00317AA7" w:rsidRDefault="00D91203">
      <w:pPr>
        <w:pStyle w:val="Ttulo1"/>
        <w:pageBreakBefore/>
        <w:rPr>
          <w:rFonts w:ascii="Times New Roman" w:hAnsi="Times New Roman" w:cs="Times New Roman"/>
          <w:color w:val="auto"/>
        </w:rPr>
      </w:pPr>
      <w:bookmarkStart w:id="23" w:name="_Toc237262847"/>
      <w:r>
        <w:rPr>
          <w:rFonts w:ascii="Times New Roman" w:hAnsi="Times New Roman" w:cs="Times New Roman"/>
          <w:color w:val="auto"/>
        </w:rPr>
        <w:lastRenderedPageBreak/>
        <w:t>5. Requerimientos no funcionales</w:t>
      </w:r>
      <w:bookmarkEnd w:id="23"/>
    </w:p>
    <w:p w14:paraId="69EEBA81"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requerimientos de esta sección se derivan de la sección 13 del documento técnico-funcional y de las restricciones tecnológicas del anteproyecto. Se identifican con el prefijo RNF.</w:t>
      </w:r>
    </w:p>
    <w:p w14:paraId="0675E6B2" w14:textId="77777777" w:rsidR="00CE2DA2" w:rsidRPr="00317AA7" w:rsidRDefault="00D91203">
      <w:pPr>
        <w:pStyle w:val="Ttulo2"/>
        <w:rPr>
          <w:rFonts w:ascii="Times New Roman" w:hAnsi="Times New Roman" w:cs="Times New Roman"/>
          <w:color w:val="auto"/>
        </w:rPr>
      </w:pPr>
      <w:bookmarkStart w:id="24" w:name="_Toc237262848"/>
      <w:r>
        <w:rPr>
          <w:rFonts w:ascii="Times New Roman" w:hAnsi="Times New Roman" w:cs="Times New Roman"/>
          <w:color w:val="auto"/>
        </w:rPr>
        <w:t>5.1 Rendimiento</w:t>
      </w:r>
      <w:bookmarkEnd w:id="24"/>
    </w:p>
    <w:p w14:paraId="741FE97E"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RNF-01. El dashboard debe renderizar la vista inicial completa —cinta de KPIs, vista de próximos arribos, grilla y ambos mapas— en un máximo de tres segundos, operando sobre un volumen de hasta doscientos pedidos activos.</w:t>
      </w:r>
    </w:p>
    <w:p w14:paraId="074D74C6"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RNF-02. La aplicación de un filtro debe reflejarse en todos los componentes de la vista en un máximo de un segundo y sin recarga completa de la página.</w:t>
      </w:r>
    </w:p>
    <w:p w14:paraId="418575EB"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RNF-03. </w:t>
      </w:r>
      <w:r>
        <w:rPr>
          <w:rFonts w:ascii="Times New Roman" w:hAnsi="Times New Roman" w:cs="Times New Roman"/>
          <w:color w:val="auto"/>
        </w:rPr>
        <w:t>Las consultas a las APIs externas deben ejecutarse de forma asíncrona y desacoplada de las peticiones del usuario, de modo que la latencia de una fuente externa no bloquee la consulta del dashboard.</w:t>
      </w:r>
    </w:p>
    <w:p w14:paraId="380995BC"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supervisor de empresa no fijó cifras corporativas de tiempo de respuesta durante el levantamiento; sí acotó la carga informativa del dashboard al definir la vista de próximos arribos que recoge RF-27. Los umbrales de RNF-01 y RNF-02 y el volumen de referencia de doscientos pedidos activos son valores de diseño adoptados por el equipo de desarrollo para hacer verificables ambos requerimientos, y quedan sujetos a objeción del supervisor durante la revisión de este documento.</w:t>
      </w:r>
    </w:p>
    <w:p w14:paraId="62C20D35" w14:textId="77777777" w:rsidR="00CE2DA2" w:rsidRPr="00317AA7" w:rsidRDefault="00D91203">
      <w:pPr>
        <w:pStyle w:val="Ttulo2"/>
        <w:rPr>
          <w:rFonts w:ascii="Times New Roman" w:hAnsi="Times New Roman" w:cs="Times New Roman"/>
          <w:color w:val="auto"/>
        </w:rPr>
      </w:pPr>
      <w:bookmarkStart w:id="25" w:name="_Toc237262849"/>
      <w:r>
        <w:rPr>
          <w:rFonts w:ascii="Times New Roman" w:hAnsi="Times New Roman" w:cs="Times New Roman"/>
          <w:color w:val="auto"/>
        </w:rPr>
        <w:t>5.2 Seguridad</w:t>
      </w:r>
      <w:bookmarkEnd w:id="25"/>
    </w:p>
    <w:p w14:paraId="4981A82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RNF-04. </w:t>
      </w:r>
      <w:r>
        <w:rPr>
          <w:rFonts w:ascii="Times New Roman" w:hAnsi="Times New Roman" w:cs="Times New Roman"/>
          <w:color w:val="auto"/>
        </w:rPr>
        <w:t>El acceso al sistema debe requerir autenticación. En el alcance de esta práctica se implementará un mecanismo propio; la integración con Active Directory o SSO corporativo queda fuera del alcance.</w:t>
      </w:r>
    </w:p>
    <w:p w14:paraId="0E1C003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RNF-05. </w:t>
      </w:r>
      <w:r>
        <w:rPr>
          <w:rFonts w:ascii="Times New Roman" w:hAnsi="Times New Roman" w:cs="Times New Roman"/>
          <w:color w:val="auto"/>
        </w:rPr>
        <w:t>El sistema debe distinguir perfiles de usuario con permisos diferenciados, de modo que las operaciones de mantenimiento de maestros y de confirmación manual queden restringidas a los perfiles autorizados.</w:t>
      </w:r>
    </w:p>
    <w:p w14:paraId="633FF12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RNF-06. </w:t>
      </w:r>
      <w:r>
        <w:rPr>
          <w:rFonts w:ascii="Times New Roman" w:hAnsi="Times New Roman" w:cs="Times New Roman"/>
          <w:color w:val="auto"/>
        </w:rPr>
        <w:t>Toda intervención manual sobre un pedido debe quedar registrada con usuario, fecha, valor anterior, valor nuevo y motivo, conforme a RF-14.</w:t>
      </w:r>
    </w:p>
    <w:p w14:paraId="2712419A"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RNF-07. </w:t>
      </w:r>
      <w:r>
        <w:rPr>
          <w:rFonts w:ascii="Times New Roman" w:hAnsi="Times New Roman" w:cs="Times New Roman"/>
          <w:color w:val="auto"/>
        </w:rPr>
        <w:t>Las credenciales de las APIs externas y de la base de datos no deben residir en el código fuente ni en el repositorio de control de versiones.</w:t>
      </w:r>
    </w:p>
    <w:p w14:paraId="026B76C8" w14:textId="77777777" w:rsidR="00CE2DA2" w:rsidRPr="00317AA7" w:rsidRDefault="00D91203">
      <w:pPr>
        <w:pStyle w:val="Ttulo2"/>
        <w:rPr>
          <w:rFonts w:ascii="Times New Roman" w:hAnsi="Times New Roman" w:cs="Times New Roman"/>
          <w:color w:val="auto"/>
        </w:rPr>
      </w:pPr>
      <w:bookmarkStart w:id="26" w:name="_Toc237262850"/>
      <w:r>
        <w:rPr>
          <w:rFonts w:ascii="Times New Roman" w:hAnsi="Times New Roman" w:cs="Times New Roman"/>
          <w:color w:val="auto"/>
        </w:rPr>
        <w:t>5.3 Usabilidad</w:t>
      </w:r>
      <w:bookmarkEnd w:id="26"/>
    </w:p>
    <w:p w14:paraId="6FB8953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RNF-08. </w:t>
      </w:r>
      <w:r>
        <w:rPr>
          <w:rFonts w:ascii="Times New Roman" w:hAnsi="Times New Roman" w:cs="Times New Roman"/>
          <w:color w:val="auto"/>
        </w:rPr>
        <w:t>El estado de cada pedido debe ser reconocible por color conforme al esquema de semáforo, de forma consistente entre la grilla y los mapas.</w:t>
      </w:r>
    </w:p>
    <w:p w14:paraId="174178E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RNF-09. </w:t>
      </w:r>
      <w:r>
        <w:rPr>
          <w:rFonts w:ascii="Times New Roman" w:hAnsi="Times New Roman" w:cs="Times New Roman"/>
          <w:color w:val="auto"/>
        </w:rPr>
        <w:t>La interfaz debe estar íntegramente en español, empleando la terminología logística habitual de los usuarios.</w:t>
      </w:r>
    </w:p>
    <w:p w14:paraId="45C76A7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RNF-10. </w:t>
      </w:r>
      <w:r>
        <w:rPr>
          <w:rFonts w:ascii="Times New Roman" w:hAnsi="Times New Roman" w:cs="Times New Roman"/>
          <w:color w:val="auto"/>
        </w:rPr>
        <w:t>El sistema debe ser operable por usuarios sin formación técnica en sistemas de información geográfica, sin requerir capacitación previa más allá del manual de usuario.</w:t>
      </w:r>
    </w:p>
    <w:p w14:paraId="0E4C347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lastRenderedPageBreak/>
        <w:t xml:space="preserve">RNF-11. </w:t>
      </w:r>
      <w:r>
        <w:rPr>
          <w:rFonts w:ascii="Times New Roman" w:hAnsi="Times New Roman" w:cs="Times New Roman"/>
          <w:color w:val="auto"/>
        </w:rPr>
        <w:t>El dashboard debe ser legible en una pantalla de gran formato en modo de visualización permanente, contemplando el escenario de pantalla tipo aeropuerto descrito en el documento técnico-funcional.</w:t>
      </w:r>
    </w:p>
    <w:p w14:paraId="1C84AB65"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La validación de los wireframes con los usuarios clave está prevista como actividad del Sprint 2, junto con la confirmación de la resolución y el tamaño de la pantalla de visualización permanente en caso de que finalmente se instale.</w:t>
      </w:r>
    </w:p>
    <w:p w14:paraId="28AFFB17" w14:textId="77777777" w:rsidR="00CE2DA2" w:rsidRPr="00317AA7" w:rsidRDefault="00D91203">
      <w:pPr>
        <w:pStyle w:val="Ttulo2"/>
        <w:rPr>
          <w:rFonts w:ascii="Times New Roman" w:hAnsi="Times New Roman" w:cs="Times New Roman"/>
          <w:color w:val="auto"/>
        </w:rPr>
      </w:pPr>
      <w:bookmarkStart w:id="27" w:name="_Toc237262851"/>
      <w:r>
        <w:rPr>
          <w:rFonts w:ascii="Times New Roman" w:hAnsi="Times New Roman" w:cs="Times New Roman"/>
          <w:color w:val="auto"/>
        </w:rPr>
        <w:t>5.4 Confiabilidad</w:t>
      </w:r>
      <w:bookmarkEnd w:id="27"/>
    </w:p>
    <w:p w14:paraId="02405A15"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RNF-12. </w:t>
      </w:r>
      <w:r>
        <w:rPr>
          <w:rFonts w:ascii="Times New Roman" w:hAnsi="Times New Roman" w:cs="Times New Roman"/>
          <w:color w:val="auto"/>
        </w:rPr>
        <w:t>La indisponibilidad de una API externa no debe impedir la consulta del dashboard. El sistema debe degradar mostrando el último dato válido conocido junto con su antigüedad.</w:t>
      </w:r>
    </w:p>
    <w:p w14:paraId="79CC77FF"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RNF-13. </w:t>
      </w:r>
      <w:r>
        <w:rPr>
          <w:rFonts w:ascii="Times New Roman" w:hAnsi="Times New Roman" w:cs="Times New Roman"/>
          <w:color w:val="auto"/>
        </w:rPr>
        <w:t>El sistema debe conservar íntegramente el historial de posiciones y el payload original de cada respuesta de API, de modo que cualquier estado calculado sea reconstruible a posteriori.</w:t>
      </w:r>
    </w:p>
    <w:p w14:paraId="34245D76"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RNF-14. </w:t>
      </w:r>
      <w:r>
        <w:rPr>
          <w:rFonts w:ascii="Times New Roman" w:hAnsi="Times New Roman" w:cs="Times New Roman"/>
          <w:color w:val="auto"/>
        </w:rPr>
        <w:t>Un fallo en el procesamiento de un pedido no debe interrumpir el procesamiento de los restantes.</w:t>
      </w:r>
    </w:p>
    <w:p w14:paraId="722250F4" w14:textId="77777777" w:rsidR="00CE2DA2" w:rsidRPr="00317AA7" w:rsidRDefault="00D91203">
      <w:pPr>
        <w:pStyle w:val="Ttulo2"/>
        <w:rPr>
          <w:rFonts w:ascii="Times New Roman" w:hAnsi="Times New Roman" w:cs="Times New Roman"/>
          <w:color w:val="auto"/>
        </w:rPr>
      </w:pPr>
      <w:bookmarkStart w:id="28" w:name="_Toc237262852"/>
      <w:r>
        <w:rPr>
          <w:rFonts w:ascii="Times New Roman" w:hAnsi="Times New Roman" w:cs="Times New Roman"/>
          <w:color w:val="auto"/>
        </w:rPr>
        <w:t>5.5 Mantenibilidad</w:t>
      </w:r>
      <w:bookmarkEnd w:id="28"/>
    </w:p>
    <w:p w14:paraId="29889FB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RNF-15. </w:t>
      </w:r>
      <w:r>
        <w:rPr>
          <w:rFonts w:ascii="Times New Roman" w:hAnsi="Times New Roman" w:cs="Times New Roman"/>
          <w:color w:val="auto"/>
        </w:rPr>
        <w:t>Los parámetros de configuración —credenciales de API, destinos, lead times, umbrales y frecuencias— deben residir fuera del código fuente, conforme a la sección 13 del documento técnico-funcional.</w:t>
      </w:r>
    </w:p>
    <w:p w14:paraId="79643214"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RNF-16. </w:t>
      </w:r>
      <w:r>
        <w:rPr>
          <w:rFonts w:ascii="Times New Roman" w:hAnsi="Times New Roman" w:cs="Times New Roman"/>
          <w:color w:val="auto"/>
        </w:rPr>
        <w:t>El código fuente debe alojarse en un repositorio Git organizado, con historial de cambios legible.</w:t>
      </w:r>
    </w:p>
    <w:p w14:paraId="13E21A1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RNF-17. </w:t>
      </w:r>
      <w:r>
        <w:rPr>
          <w:rFonts w:ascii="Times New Roman" w:hAnsi="Times New Roman" w:cs="Times New Roman"/>
          <w:color w:val="auto"/>
        </w:rPr>
        <w:t>El backend debe exponer su documentación de API de forma automática mediante OpenAPI y Swagger UI.</w:t>
      </w:r>
    </w:p>
    <w:p w14:paraId="64106CED"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RNF-18. </w:t>
      </w:r>
      <w:r>
        <w:rPr>
          <w:rFonts w:ascii="Times New Roman" w:hAnsi="Times New Roman" w:cs="Times New Roman"/>
          <w:color w:val="auto"/>
        </w:rPr>
        <w:t>El sistema debe contar con pruebas automatizadas de sus reglas de negocio de cálculo de estado, por ser el núcleo funcional del producto.</w:t>
      </w:r>
    </w:p>
    <w:p w14:paraId="652FA83F" w14:textId="77777777" w:rsidR="00CE2DA2" w:rsidRPr="00317AA7" w:rsidRDefault="00D91203">
      <w:pPr>
        <w:pStyle w:val="Ttulo2"/>
        <w:rPr>
          <w:rFonts w:ascii="Times New Roman" w:hAnsi="Times New Roman" w:cs="Times New Roman"/>
          <w:color w:val="auto"/>
        </w:rPr>
      </w:pPr>
      <w:bookmarkStart w:id="29" w:name="_Toc237262853"/>
      <w:r>
        <w:rPr>
          <w:rFonts w:ascii="Times New Roman" w:hAnsi="Times New Roman" w:cs="Times New Roman"/>
          <w:color w:val="auto"/>
        </w:rPr>
        <w:t>5.6 Portabilidad</w:t>
      </w:r>
      <w:bookmarkEnd w:id="29"/>
    </w:p>
    <w:p w14:paraId="7056652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RNF-19. </w:t>
      </w:r>
      <w:r>
        <w:rPr>
          <w:rFonts w:ascii="Times New Roman" w:hAnsi="Times New Roman" w:cs="Times New Roman"/>
          <w:color w:val="auto"/>
        </w:rPr>
        <w:t>El sistema debe ejecutarse en entorno de desarrollo local sobre Windows, mediante un procedimiento documentado y reproducible.</w:t>
      </w:r>
    </w:p>
    <w:p w14:paraId="3D739B6E"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RNF-20. </w:t>
      </w:r>
      <w:r>
        <w:rPr>
          <w:rFonts w:ascii="Times New Roman" w:hAnsi="Times New Roman" w:cs="Times New Roman"/>
          <w:color w:val="auto"/>
        </w:rPr>
        <w:t>La capa de persistencia debe depender únicamente de PostgreSQL 16 con la extensión PostGIS, sin recurrir a características propietarias de un proveedor de nube.</w:t>
      </w:r>
    </w:p>
    <w:p w14:paraId="171E9405"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anteproyecto contempla la ejecución mediante contenedores Docker, que no es posible en el equipo asignado al practicante por restricciones de permisos administrativos. El supervisor de empresa confirmó durante el levantamiento que prescindir de contenedores es aceptable: el entorno de desarrollo se levanta de forma nativa y los archivos de contenedor se conservan como artefacto para el despliegue en servidor.</w:t>
      </w:r>
    </w:p>
    <w:p w14:paraId="0B213B1E" w14:textId="77777777" w:rsidR="00CE2DA2" w:rsidRPr="00317AA7" w:rsidRDefault="00D91203">
      <w:pPr>
        <w:pStyle w:val="Ttulo2"/>
        <w:rPr>
          <w:rFonts w:ascii="Times New Roman" w:hAnsi="Times New Roman" w:cs="Times New Roman"/>
          <w:color w:val="auto"/>
        </w:rPr>
      </w:pPr>
      <w:bookmarkStart w:id="30" w:name="_Toc237262854"/>
      <w:r>
        <w:rPr>
          <w:rFonts w:ascii="Times New Roman" w:hAnsi="Times New Roman" w:cs="Times New Roman"/>
          <w:color w:val="auto"/>
        </w:rPr>
        <w:t>5.7 Escalabilidad</w:t>
      </w:r>
      <w:bookmarkEnd w:id="30"/>
    </w:p>
    <w:p w14:paraId="14E5A35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RNF-21. </w:t>
      </w:r>
      <w:r>
        <w:rPr>
          <w:rFonts w:ascii="Times New Roman" w:hAnsi="Times New Roman" w:cs="Times New Roman"/>
          <w:color w:val="auto"/>
        </w:rPr>
        <w:t>La arquitectura debe permitir incorporar nuevas fuentes de rastreo sin alterar la lógica de cálculo de estados, aislando cada integración tras una interfaz común.</w:t>
      </w:r>
    </w:p>
    <w:p w14:paraId="48B76E2F"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lastRenderedPageBreak/>
        <w:t xml:space="preserve">RNF-22. </w:t>
      </w:r>
      <w:r>
        <w:rPr>
          <w:rFonts w:ascii="Times New Roman" w:hAnsi="Times New Roman" w:cs="Times New Roman"/>
          <w:color w:val="auto"/>
        </w:rPr>
        <w:t>El modelo de datos debe soportar el crecimiento del historial de posiciones sin degradar la consulta de los pedidos activos.</w:t>
      </w:r>
    </w:p>
    <w:p w14:paraId="400AE26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RNF-23. </w:t>
      </w:r>
      <w:r>
        <w:rPr>
          <w:rFonts w:ascii="Times New Roman" w:hAnsi="Times New Roman" w:cs="Times New Roman"/>
          <w:color w:val="auto"/>
        </w:rPr>
        <w:t>La arquitectura debe quedar preparada para la incorporación posterior de comunicación por WebSockets hacia el frontend, conforme a la evolución prevista en el documento técnico-funcional.</w:t>
      </w:r>
    </w:p>
    <w:p w14:paraId="7C9C87BE" w14:textId="77777777" w:rsidR="00CE2DA2" w:rsidRPr="00317AA7" w:rsidRDefault="00D91203">
      <w:pPr>
        <w:pStyle w:val="Ttulo2"/>
        <w:rPr>
          <w:rFonts w:ascii="Times New Roman" w:hAnsi="Times New Roman" w:cs="Times New Roman"/>
          <w:color w:val="auto"/>
        </w:rPr>
      </w:pPr>
      <w:bookmarkStart w:id="31" w:name="_Toc237262855"/>
      <w:r>
        <w:rPr>
          <w:rFonts w:ascii="Times New Roman" w:hAnsi="Times New Roman" w:cs="Times New Roman"/>
          <w:color w:val="auto"/>
        </w:rPr>
        <w:t>5.8 Restricciones tecnológicas</w:t>
      </w:r>
      <w:bookmarkEnd w:id="31"/>
    </w:p>
    <w:p w14:paraId="1C108DAB"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El stack está definido por el anteproyecto y no admite sustitución dentro del alcance de la práctica: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2360"/>
      </w:tblGrid>
      <w:tr w:rsidR="00CE2DA2" w:rsidRPr="00317AA7" w14:paraId="09B9E8C0" w14:textId="77777777">
        <w:trPr>
          <w:tblHeader/>
        </w:trPr>
        <w:tc>
          <w:tcPr>
            <w:tcW w:w="2600" w:type="dxa"/>
            <w:shd w:val="clear" w:color="auto" w:fill="D9E2F3"/>
            <w:tcMar>
              <w:top w:w="60" w:type="dxa"/>
              <w:left w:w="100" w:type="dxa"/>
              <w:bottom w:w="60" w:type="dxa"/>
              <w:right w:w="100" w:type="dxa"/>
            </w:tcMar>
          </w:tcPr>
          <w:p w14:paraId="4217A6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Capa</w:t>
            </w:r>
          </w:p>
        </w:tc>
        <w:tc>
          <w:tcPr>
            <w:tcW w:w="4400" w:type="dxa"/>
            <w:shd w:val="clear" w:color="auto" w:fill="D9E2F3"/>
            <w:tcMar>
              <w:top w:w="60" w:type="dxa"/>
              <w:left w:w="100" w:type="dxa"/>
              <w:bottom w:w="60" w:type="dxa"/>
              <w:right w:w="100" w:type="dxa"/>
            </w:tcMar>
          </w:tcPr>
          <w:p w14:paraId="205C2E8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Tecnología</w:t>
            </w:r>
          </w:p>
        </w:tc>
        <w:tc>
          <w:tcPr>
            <w:tcW w:w="2360" w:type="dxa"/>
            <w:shd w:val="clear" w:color="auto" w:fill="D9E2F3"/>
            <w:tcMar>
              <w:top w:w="60" w:type="dxa"/>
              <w:left w:w="100" w:type="dxa"/>
              <w:bottom w:w="60" w:type="dxa"/>
              <w:right w:w="100" w:type="dxa"/>
            </w:tcMar>
          </w:tcPr>
          <w:p w14:paraId="0B71042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r>
      <w:tr w:rsidR="00CE2DA2" w:rsidRPr="00317AA7" w14:paraId="4AF1A45A" w14:textId="77777777">
        <w:tc>
          <w:tcPr>
            <w:tcW w:w="2600" w:type="dxa"/>
            <w:tcMar>
              <w:top w:w="60" w:type="dxa"/>
              <w:left w:w="100" w:type="dxa"/>
              <w:bottom w:w="60" w:type="dxa"/>
              <w:right w:w="100" w:type="dxa"/>
            </w:tcMar>
          </w:tcPr>
          <w:p w14:paraId="3C22BC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Lenguaje de backend</w:t>
            </w:r>
          </w:p>
        </w:tc>
        <w:tc>
          <w:tcPr>
            <w:tcW w:w="4400" w:type="dxa"/>
            <w:tcMar>
              <w:top w:w="60" w:type="dxa"/>
              <w:left w:w="100" w:type="dxa"/>
              <w:bottom w:w="60" w:type="dxa"/>
              <w:right w:w="100" w:type="dxa"/>
            </w:tcMar>
          </w:tcPr>
          <w:p w14:paraId="1B9DE8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Python</w:t>
            </w:r>
          </w:p>
        </w:tc>
        <w:tc>
          <w:tcPr>
            <w:tcW w:w="2360" w:type="dxa"/>
            <w:tcMar>
              <w:top w:w="60" w:type="dxa"/>
              <w:left w:w="100" w:type="dxa"/>
              <w:bottom w:w="60" w:type="dxa"/>
              <w:right w:w="100" w:type="dxa"/>
            </w:tcMar>
          </w:tcPr>
          <w:p w14:paraId="13E4C8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3.12 o superior</w:t>
            </w:r>
          </w:p>
        </w:tc>
      </w:tr>
      <w:tr w:rsidR="00CE2DA2" w:rsidRPr="00317AA7" w14:paraId="0F605851" w14:textId="77777777">
        <w:tc>
          <w:tcPr>
            <w:tcW w:w="2600" w:type="dxa"/>
            <w:tcMar>
              <w:top w:w="60" w:type="dxa"/>
              <w:left w:w="100" w:type="dxa"/>
              <w:bottom w:w="60" w:type="dxa"/>
              <w:right w:w="100" w:type="dxa"/>
            </w:tcMar>
          </w:tcPr>
          <w:p w14:paraId="333ADE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Framework de backend</w:t>
            </w:r>
          </w:p>
        </w:tc>
        <w:tc>
          <w:tcPr>
            <w:tcW w:w="4400" w:type="dxa"/>
            <w:tcMar>
              <w:top w:w="60" w:type="dxa"/>
              <w:left w:w="100" w:type="dxa"/>
              <w:bottom w:w="60" w:type="dxa"/>
              <w:right w:w="100" w:type="dxa"/>
            </w:tcMar>
          </w:tcPr>
          <w:p w14:paraId="747E2F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FastAPI</w:t>
            </w:r>
          </w:p>
        </w:tc>
        <w:tc>
          <w:tcPr>
            <w:tcW w:w="2360" w:type="dxa"/>
            <w:tcMar>
              <w:top w:w="60" w:type="dxa"/>
              <w:left w:w="100" w:type="dxa"/>
              <w:bottom w:w="60" w:type="dxa"/>
              <w:right w:w="100" w:type="dxa"/>
            </w:tcMar>
          </w:tcPr>
          <w:p w14:paraId="27FF7C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0.115.x</w:t>
            </w:r>
          </w:p>
        </w:tc>
      </w:tr>
      <w:tr w:rsidR="00CE2DA2" w:rsidRPr="00317AA7" w14:paraId="249CAF09" w14:textId="77777777">
        <w:tc>
          <w:tcPr>
            <w:tcW w:w="2600" w:type="dxa"/>
            <w:tcMar>
              <w:top w:w="60" w:type="dxa"/>
              <w:left w:w="100" w:type="dxa"/>
              <w:bottom w:w="60" w:type="dxa"/>
              <w:right w:w="100" w:type="dxa"/>
            </w:tcMar>
          </w:tcPr>
          <w:p w14:paraId="7E28D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ORM y migraciones</w:t>
            </w:r>
          </w:p>
        </w:tc>
        <w:tc>
          <w:tcPr>
            <w:tcW w:w="4400" w:type="dxa"/>
            <w:tcMar>
              <w:top w:w="60" w:type="dxa"/>
              <w:left w:w="100" w:type="dxa"/>
              <w:bottom w:w="60" w:type="dxa"/>
              <w:right w:w="100" w:type="dxa"/>
            </w:tcMar>
          </w:tcPr>
          <w:p w14:paraId="006AD08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SQLAlchemy 2.0 con Alembic</w:t>
            </w:r>
          </w:p>
        </w:tc>
        <w:tc>
          <w:tcPr>
            <w:tcW w:w="2360" w:type="dxa"/>
            <w:tcMar>
              <w:top w:w="60" w:type="dxa"/>
              <w:left w:w="100" w:type="dxa"/>
              <w:bottom w:w="60" w:type="dxa"/>
              <w:right w:w="100" w:type="dxa"/>
            </w:tcMar>
          </w:tcPr>
          <w:p w14:paraId="1CCDF7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2.0.x / 1.14.x</w:t>
            </w:r>
          </w:p>
        </w:tc>
      </w:tr>
      <w:tr w:rsidR="00CE2DA2" w:rsidRPr="00317AA7" w14:paraId="0B45E3DB" w14:textId="77777777">
        <w:tc>
          <w:tcPr>
            <w:tcW w:w="2600" w:type="dxa"/>
            <w:tcMar>
              <w:top w:w="60" w:type="dxa"/>
              <w:left w:w="100" w:type="dxa"/>
              <w:bottom w:w="60" w:type="dxa"/>
              <w:right w:w="100" w:type="dxa"/>
            </w:tcMar>
          </w:tcPr>
          <w:p w14:paraId="29F3C0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Base de datos</w:t>
            </w:r>
          </w:p>
        </w:tc>
        <w:tc>
          <w:tcPr>
            <w:tcW w:w="4400" w:type="dxa"/>
            <w:tcMar>
              <w:top w:w="60" w:type="dxa"/>
              <w:left w:w="100" w:type="dxa"/>
              <w:bottom w:w="60" w:type="dxa"/>
              <w:right w:w="100" w:type="dxa"/>
            </w:tcMar>
          </w:tcPr>
          <w:p w14:paraId="07394A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PostgreSQL con extensión PostGIS</w:t>
            </w:r>
          </w:p>
        </w:tc>
        <w:tc>
          <w:tcPr>
            <w:tcW w:w="2360" w:type="dxa"/>
            <w:tcMar>
              <w:top w:w="60" w:type="dxa"/>
              <w:left w:w="100" w:type="dxa"/>
              <w:bottom w:w="60" w:type="dxa"/>
              <w:right w:w="100" w:type="dxa"/>
            </w:tcMar>
          </w:tcPr>
          <w:p w14:paraId="3BFD9B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16.x / 3.x</w:t>
            </w:r>
          </w:p>
        </w:tc>
      </w:tr>
      <w:tr w:rsidR="00CE2DA2" w:rsidRPr="00317AA7" w14:paraId="619ACA85" w14:textId="77777777">
        <w:tc>
          <w:tcPr>
            <w:tcW w:w="2600" w:type="dxa"/>
            <w:tcMar>
              <w:top w:w="60" w:type="dxa"/>
              <w:left w:w="100" w:type="dxa"/>
              <w:bottom w:w="60" w:type="dxa"/>
              <w:right w:w="100" w:type="dxa"/>
            </w:tcMar>
          </w:tcPr>
          <w:p w14:paraId="134300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Framework de frontend</w:t>
            </w:r>
          </w:p>
        </w:tc>
        <w:tc>
          <w:tcPr>
            <w:tcW w:w="4400" w:type="dxa"/>
            <w:tcMar>
              <w:top w:w="60" w:type="dxa"/>
              <w:left w:w="100" w:type="dxa"/>
              <w:bottom w:w="60" w:type="dxa"/>
              <w:right w:w="100" w:type="dxa"/>
            </w:tcMar>
          </w:tcPr>
          <w:p w14:paraId="0C6410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React con TypeScript</w:t>
            </w:r>
          </w:p>
        </w:tc>
        <w:tc>
          <w:tcPr>
            <w:tcW w:w="2360" w:type="dxa"/>
            <w:tcMar>
              <w:top w:w="60" w:type="dxa"/>
              <w:left w:w="100" w:type="dxa"/>
              <w:bottom w:w="60" w:type="dxa"/>
              <w:right w:w="100" w:type="dxa"/>
            </w:tcMar>
          </w:tcPr>
          <w:p w14:paraId="75CA01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18.x</w:t>
            </w:r>
          </w:p>
        </w:tc>
      </w:tr>
      <w:tr w:rsidR="00CE2DA2" w:rsidRPr="00317AA7" w14:paraId="1D40BE59" w14:textId="77777777">
        <w:tc>
          <w:tcPr>
            <w:tcW w:w="2600" w:type="dxa"/>
            <w:tcMar>
              <w:top w:w="60" w:type="dxa"/>
              <w:left w:w="100" w:type="dxa"/>
              <w:bottom w:w="60" w:type="dxa"/>
              <w:right w:w="100" w:type="dxa"/>
            </w:tcMar>
          </w:tcPr>
          <w:p w14:paraId="0A5847A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Herramienta de construcción</w:t>
            </w:r>
          </w:p>
        </w:tc>
        <w:tc>
          <w:tcPr>
            <w:tcW w:w="4400" w:type="dxa"/>
            <w:tcMar>
              <w:top w:w="60" w:type="dxa"/>
              <w:left w:w="100" w:type="dxa"/>
              <w:bottom w:w="60" w:type="dxa"/>
              <w:right w:w="100" w:type="dxa"/>
            </w:tcMar>
          </w:tcPr>
          <w:p w14:paraId="77C29F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Vite</w:t>
            </w:r>
          </w:p>
        </w:tc>
        <w:tc>
          <w:tcPr>
            <w:tcW w:w="2360" w:type="dxa"/>
            <w:tcMar>
              <w:top w:w="60" w:type="dxa"/>
              <w:left w:w="100" w:type="dxa"/>
              <w:bottom w:w="60" w:type="dxa"/>
              <w:right w:w="100" w:type="dxa"/>
            </w:tcMar>
          </w:tcPr>
          <w:p w14:paraId="006427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25BE60C5" w14:textId="77777777">
        <w:tc>
          <w:tcPr>
            <w:tcW w:w="2600" w:type="dxa"/>
            <w:tcMar>
              <w:top w:w="60" w:type="dxa"/>
              <w:left w:w="100" w:type="dxa"/>
              <w:bottom w:w="60" w:type="dxa"/>
              <w:right w:w="100" w:type="dxa"/>
            </w:tcMar>
          </w:tcPr>
          <w:p w14:paraId="57D3289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Cartografía</w:t>
            </w:r>
          </w:p>
        </w:tc>
        <w:tc>
          <w:tcPr>
            <w:tcW w:w="4400" w:type="dxa"/>
            <w:tcMar>
              <w:top w:w="60" w:type="dxa"/>
              <w:left w:w="100" w:type="dxa"/>
              <w:bottom w:w="60" w:type="dxa"/>
              <w:right w:w="100" w:type="dxa"/>
            </w:tcMar>
          </w:tcPr>
          <w:p w14:paraId="5AC9CD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Leaflet</w:t>
            </w:r>
          </w:p>
        </w:tc>
        <w:tc>
          <w:tcPr>
            <w:tcW w:w="2360" w:type="dxa"/>
            <w:tcMar>
              <w:top w:w="60" w:type="dxa"/>
              <w:left w:w="100" w:type="dxa"/>
              <w:bottom w:w="60" w:type="dxa"/>
              <w:right w:w="100" w:type="dxa"/>
            </w:tcMar>
          </w:tcPr>
          <w:p w14:paraId="0ADB9A6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1B760D98" w14:textId="77777777">
        <w:tc>
          <w:tcPr>
            <w:tcW w:w="2600" w:type="dxa"/>
            <w:tcMar>
              <w:top w:w="60" w:type="dxa"/>
              <w:left w:w="100" w:type="dxa"/>
              <w:bottom w:w="60" w:type="dxa"/>
              <w:right w:w="100" w:type="dxa"/>
            </w:tcMar>
          </w:tcPr>
          <w:p w14:paraId="13931DC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Estilos</w:t>
            </w:r>
          </w:p>
        </w:tc>
        <w:tc>
          <w:tcPr>
            <w:tcW w:w="4400" w:type="dxa"/>
            <w:tcMar>
              <w:top w:w="60" w:type="dxa"/>
              <w:left w:w="100" w:type="dxa"/>
              <w:bottom w:w="60" w:type="dxa"/>
              <w:right w:w="100" w:type="dxa"/>
            </w:tcMar>
          </w:tcPr>
          <w:p w14:paraId="0DE9A48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TailwindCSS</w:t>
            </w:r>
          </w:p>
        </w:tc>
        <w:tc>
          <w:tcPr>
            <w:tcW w:w="2360" w:type="dxa"/>
            <w:tcMar>
              <w:top w:w="60" w:type="dxa"/>
              <w:left w:w="100" w:type="dxa"/>
              <w:bottom w:w="60" w:type="dxa"/>
              <w:right w:w="100" w:type="dxa"/>
            </w:tcMar>
          </w:tcPr>
          <w:p w14:paraId="575964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1B172E77" w14:textId="77777777">
        <w:tc>
          <w:tcPr>
            <w:tcW w:w="2600" w:type="dxa"/>
            <w:tcMar>
              <w:top w:w="60" w:type="dxa"/>
              <w:left w:w="100" w:type="dxa"/>
              <w:bottom w:w="60" w:type="dxa"/>
              <w:right w:w="100" w:type="dxa"/>
            </w:tcMar>
          </w:tcPr>
          <w:p w14:paraId="1AF42DE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Pruebas</w:t>
            </w:r>
          </w:p>
        </w:tc>
        <w:tc>
          <w:tcPr>
            <w:tcW w:w="4400" w:type="dxa"/>
            <w:tcMar>
              <w:top w:w="60" w:type="dxa"/>
              <w:left w:w="100" w:type="dxa"/>
              <w:bottom w:w="60" w:type="dxa"/>
              <w:right w:w="100" w:type="dxa"/>
            </w:tcMar>
          </w:tcPr>
          <w:p w14:paraId="2492AF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pytest (backend), Vitest (frontend)</w:t>
            </w:r>
          </w:p>
        </w:tc>
        <w:tc>
          <w:tcPr>
            <w:tcW w:w="2360" w:type="dxa"/>
            <w:tcMar>
              <w:top w:w="60" w:type="dxa"/>
              <w:left w:w="100" w:type="dxa"/>
              <w:bottom w:w="60" w:type="dxa"/>
              <w:right w:w="100" w:type="dxa"/>
            </w:tcMar>
          </w:tcPr>
          <w:p w14:paraId="2A5BB4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8.x / última estable</w:t>
            </w:r>
          </w:p>
        </w:tc>
      </w:tr>
      <w:tr w:rsidR="00CE2DA2" w:rsidRPr="00317AA7" w14:paraId="333555EE" w14:textId="77777777">
        <w:tc>
          <w:tcPr>
            <w:tcW w:w="2600" w:type="dxa"/>
            <w:tcMar>
              <w:top w:w="60" w:type="dxa"/>
              <w:left w:w="100" w:type="dxa"/>
              <w:bottom w:w="60" w:type="dxa"/>
              <w:right w:w="100" w:type="dxa"/>
            </w:tcMar>
          </w:tcPr>
          <w:p w14:paraId="635E59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Control de versiones</w:t>
            </w:r>
          </w:p>
        </w:tc>
        <w:tc>
          <w:tcPr>
            <w:tcW w:w="4400" w:type="dxa"/>
            <w:tcMar>
              <w:top w:w="60" w:type="dxa"/>
              <w:left w:w="100" w:type="dxa"/>
              <w:bottom w:w="60" w:type="dxa"/>
              <w:right w:w="100" w:type="dxa"/>
            </w:tcMar>
          </w:tcPr>
          <w:p w14:paraId="35A0690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Git y GitHub</w:t>
            </w:r>
          </w:p>
        </w:tc>
        <w:tc>
          <w:tcPr>
            <w:tcW w:w="2360" w:type="dxa"/>
            <w:tcMar>
              <w:top w:w="60" w:type="dxa"/>
              <w:left w:w="100" w:type="dxa"/>
              <w:bottom w:w="60" w:type="dxa"/>
              <w:right w:w="100" w:type="dxa"/>
            </w:tcMar>
          </w:tcPr>
          <w:p w14:paraId="65E8E8B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 aplica</w:t>
            </w:r>
          </w:p>
        </w:tc>
      </w:tr>
    </w:tbl>
    <w:p w14:paraId="202E58F0" w14:textId="77777777" w:rsidR="00CE2DA2" w:rsidRPr="00317AA7" w:rsidRDefault="00D91203">
      <w:pPr>
        <w:pStyle w:val="Ttulo1"/>
        <w:pageBreakBefore/>
        <w:rPr>
          <w:rFonts w:ascii="Times New Roman" w:hAnsi="Times New Roman" w:cs="Times New Roman"/>
          <w:color w:val="auto"/>
        </w:rPr>
      </w:pPr>
      <w:bookmarkStart w:id="32" w:name="_Toc237262856"/>
      <w:r>
        <w:rPr>
          <w:rFonts w:ascii="Times New Roman" w:hAnsi="Times New Roman" w:cs="Times New Roman"/>
          <w:color w:val="auto"/>
        </w:rPr>
        <w:lastRenderedPageBreak/>
        <w:t>6. Casos de uso principales</w:t>
      </w:r>
      <w:bookmarkEnd w:id="32"/>
    </w:p>
    <w:p w14:paraId="2D16C1F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Se documentan diez casos de uso que cubren las interacciones principales del sistema. Cada uno se describe mediante su actor principal, sus precondiciones, el flujo principal numerado, los flujos alternativos y las postcondiciones. Los diagramas de secuencia y de componentes correspondientes se entregarán con el documento de arquitectura del Sprint 2.</w:t>
      </w:r>
    </w:p>
    <w:p w14:paraId="5D1CAF5F"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CU-01: Sincronizar los pedidos en tránsito desde SAP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82129B9" w14:textId="77777777">
        <w:tc>
          <w:tcPr>
            <w:tcW w:w="2400" w:type="dxa"/>
            <w:shd w:val="clear" w:color="auto" w:fill="F2F2F2"/>
            <w:tcMar>
              <w:top w:w="60" w:type="dxa"/>
              <w:left w:w="100" w:type="dxa"/>
              <w:bottom w:w="60" w:type="dxa"/>
              <w:right w:w="100" w:type="dxa"/>
            </w:tcMar>
          </w:tcPr>
          <w:p w14:paraId="3080AC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36C2DA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Usuario de Compras</w:t>
            </w:r>
          </w:p>
        </w:tc>
      </w:tr>
      <w:tr w:rsidR="00CE2DA2" w:rsidRPr="00317AA7" w14:paraId="27965536" w14:textId="77777777">
        <w:tc>
          <w:tcPr>
            <w:tcW w:w="2400" w:type="dxa"/>
            <w:shd w:val="clear" w:color="auto" w:fill="F2F2F2"/>
            <w:tcMar>
              <w:top w:w="60" w:type="dxa"/>
              <w:left w:w="100" w:type="dxa"/>
              <w:bottom w:w="60" w:type="dxa"/>
              <w:right w:w="100" w:type="dxa"/>
            </w:tcMar>
          </w:tcPr>
          <w:p w14:paraId="2B4AA3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966CB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orden de compra existe en SAP. El proceso corporativo previo se ha cumplido: el área solicitante generó una solicitud de pedido (SOLPED) en SAP, ésta recorrió su flujo de aprobación y, una vez aprobada, el comprador cotizó con los proveedores y emitió la orden de compra. El servicio API de SAP está disponible y TrackIn cuenta con credenciales válidas.</w:t>
            </w:r>
          </w:p>
        </w:tc>
      </w:tr>
      <w:tr w:rsidR="00CE2DA2" w:rsidRPr="00317AA7" w14:paraId="4117002F" w14:textId="77777777">
        <w:tc>
          <w:tcPr>
            <w:tcW w:w="2400" w:type="dxa"/>
            <w:shd w:val="clear" w:color="auto" w:fill="F2F2F2"/>
            <w:tcMar>
              <w:top w:w="60" w:type="dxa"/>
              <w:left w:w="100" w:type="dxa"/>
              <w:bottom w:w="60" w:type="dxa"/>
              <w:right w:w="100" w:type="dxa"/>
            </w:tcMar>
          </w:tcPr>
          <w:p w14:paraId="4D4FB8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0672906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planificador de tareas de TrackIn dispara la sincronización según la periodicidad configurada, o el usuario la solicita a demanda.</w:t>
            </w:r>
          </w:p>
          <w:p w14:paraId="271C1D2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invoca el servicio API de SAP solicitando las órdenes de compra en tránsito.</w:t>
            </w:r>
          </w:p>
          <w:p w14:paraId="7C98224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valida los campos obligatorios y los valores de dominio de cada registro recibido.</w:t>
            </w:r>
          </w:p>
          <w:p w14:paraId="73691E2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inserta los pedidos nuevos y actualiza los existentes, identificándolos por número de orden de compra y posición.</w:t>
            </w:r>
          </w:p>
          <w:p w14:paraId="22B74000"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marca para recálculo aquellos pedidos cuyos insumos de cálculo han cambiado.</w:t>
            </w:r>
          </w:p>
          <w:p w14:paraId="6B1EF48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registra un informe con el número de registros recibidos, insertados, actualizados y rechazados, junto con la fecha y hora de la sincronización.</w:t>
            </w:r>
          </w:p>
        </w:tc>
      </w:tr>
      <w:tr w:rsidR="00CE2DA2" w:rsidRPr="00317AA7" w14:paraId="23090659" w14:textId="77777777">
        <w:tc>
          <w:tcPr>
            <w:tcW w:w="2400" w:type="dxa"/>
            <w:shd w:val="clear" w:color="auto" w:fill="F2F2F2"/>
            <w:tcMar>
              <w:top w:w="60" w:type="dxa"/>
              <w:left w:w="100" w:type="dxa"/>
              <w:bottom w:w="60" w:type="dxa"/>
              <w:right w:w="100" w:type="dxa"/>
            </w:tcMar>
          </w:tcPr>
          <w:p w14:paraId="2A6EE77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7BB2724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servicio de SAP no responde o devuelve un error: el sistema conserva los datos de la última sincronización exitosa, registra la incidencia y señala en el encabezado del dashboard la antigüedad de los datos de pedido.</w:t>
            </w:r>
          </w:p>
          <w:p w14:paraId="1D979F2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Un registro carece de un campo obligatorio o presenta un valor de dominio no admitido: el sistema lo rechaza individualmente, continúa con los restantes y lo incluye en el informe con su clave y el motivo.</w:t>
            </w:r>
          </w:p>
          <w:p w14:paraId="5CC2942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Un pedido ya existente presenta cambios en su fecha de entrega comprometida: el sistema lo actualiza y lo marca para recálculo de estado.</w:t>
            </w:r>
          </w:p>
          <w:p w14:paraId="2FB9AFD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4b. Un pedido presente en TrackIn ya no figura en la respuesta de SAP: el sistema lo señala para revisión manual y no lo elimina.</w:t>
            </w:r>
          </w:p>
        </w:tc>
      </w:tr>
      <w:tr w:rsidR="00CE2DA2" w:rsidRPr="00317AA7" w14:paraId="1F04F3A0" w14:textId="77777777">
        <w:tc>
          <w:tcPr>
            <w:tcW w:w="2400" w:type="dxa"/>
            <w:shd w:val="clear" w:color="auto" w:fill="F2F2F2"/>
            <w:tcMar>
              <w:top w:w="60" w:type="dxa"/>
              <w:left w:w="100" w:type="dxa"/>
              <w:bottom w:w="60" w:type="dxa"/>
              <w:right w:w="100" w:type="dxa"/>
            </w:tcMar>
          </w:tcPr>
          <w:p w14:paraId="2C45588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B62F9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Los pedidos válidos quedan persistidos y disponibles en el dashboard. Los pedidos sin identificador de rastreo quedan en estado Sin tracking.</w:t>
            </w:r>
          </w:p>
        </w:tc>
      </w:tr>
    </w:tbl>
    <w:p w14:paraId="1C02F36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CU-02: Consultar el dashboard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F7D4F5D" w14:textId="77777777">
        <w:tc>
          <w:tcPr>
            <w:tcW w:w="2400" w:type="dxa"/>
            <w:shd w:val="clear" w:color="auto" w:fill="F2F2F2"/>
            <w:tcMar>
              <w:top w:w="60" w:type="dxa"/>
              <w:left w:w="100" w:type="dxa"/>
              <w:bottom w:w="60" w:type="dxa"/>
              <w:right w:w="100" w:type="dxa"/>
            </w:tcMar>
          </w:tcPr>
          <w:p w14:paraId="38408BB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F3BAD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99008D0" w14:textId="77777777">
        <w:tc>
          <w:tcPr>
            <w:tcW w:w="2400" w:type="dxa"/>
            <w:shd w:val="clear" w:color="auto" w:fill="F2F2F2"/>
            <w:tcMar>
              <w:top w:w="60" w:type="dxa"/>
              <w:left w:w="100" w:type="dxa"/>
              <w:bottom w:w="60" w:type="dxa"/>
              <w:right w:w="100" w:type="dxa"/>
            </w:tcMar>
          </w:tcPr>
          <w:p w14:paraId="155A80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C0151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ha iniciado sesión y existe al menos un pedido cargado.</w:t>
            </w:r>
          </w:p>
        </w:tc>
      </w:tr>
      <w:tr w:rsidR="00CE2DA2" w:rsidRPr="00317AA7" w14:paraId="587A5CC8" w14:textId="77777777">
        <w:tc>
          <w:tcPr>
            <w:tcW w:w="2400" w:type="dxa"/>
            <w:shd w:val="clear" w:color="auto" w:fill="F2F2F2"/>
            <w:tcMar>
              <w:top w:w="60" w:type="dxa"/>
              <w:left w:w="100" w:type="dxa"/>
              <w:bottom w:w="60" w:type="dxa"/>
              <w:right w:w="100" w:type="dxa"/>
            </w:tcMar>
          </w:tcPr>
          <w:p w14:paraId="55AEF54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Flujo principal</w:t>
            </w:r>
          </w:p>
        </w:tc>
        <w:tc>
          <w:tcPr>
            <w:tcW w:w="6960" w:type="dxa"/>
            <w:tcMar>
              <w:top w:w="60" w:type="dxa"/>
              <w:left w:w="100" w:type="dxa"/>
              <w:bottom w:w="60" w:type="dxa"/>
              <w:right w:w="100" w:type="dxa"/>
            </w:tcMar>
          </w:tcPr>
          <w:p w14:paraId="34042C8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 la pantalla principal del sistema.</w:t>
            </w:r>
          </w:p>
          <w:p w14:paraId="1F2C6C4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los pedidos activos con su estado calculado vigente.</w:t>
            </w:r>
          </w:p>
          <w:p w14:paraId="06423BE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presenta el encabezado con la fecha y hora de la última actualización y el estado de sincronización.</w:t>
            </w:r>
          </w:p>
          <w:p w14:paraId="3600E68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cinta de KPIs: pedidos activos, porcentaje a tiempo, en riesgo y retrasados, y lead time promedio.</w:t>
            </w:r>
          </w:p>
          <w:p w14:paraId="5B98D28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grilla central con los pedidos y su estado, coloreados según el semáforo.</w:t>
            </w:r>
          </w:p>
          <w:p w14:paraId="10D1B78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presenta los mapas marítimo y aéreo con los marcadores correspondientes.</w:t>
            </w:r>
          </w:p>
        </w:tc>
      </w:tr>
      <w:tr w:rsidR="00CE2DA2" w:rsidRPr="00317AA7" w14:paraId="15AAE30B" w14:textId="77777777">
        <w:tc>
          <w:tcPr>
            <w:tcW w:w="2400" w:type="dxa"/>
            <w:shd w:val="clear" w:color="auto" w:fill="F2F2F2"/>
            <w:tcMar>
              <w:top w:w="60" w:type="dxa"/>
              <w:left w:w="100" w:type="dxa"/>
              <w:bottom w:w="60" w:type="dxa"/>
              <w:right w:w="100" w:type="dxa"/>
            </w:tcMar>
          </w:tcPr>
          <w:p w14:paraId="69463A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65145E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No existen pedidos cargados: el sistema presenta la pantalla con un mensaje que orienta al usuario hacia la función de carga.</w:t>
            </w:r>
          </w:p>
          <w:p w14:paraId="36F2F0BA"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La última sincronización con una API externa falló: el sistema señala la incidencia y muestra la antigüedad del último dato válido.</w:t>
            </w:r>
          </w:p>
          <w:p w14:paraId="2109F2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Ningún pedido cuenta con posición conocida: el sistema presenta los mapas en su vista general sin marcadores.</w:t>
            </w:r>
          </w:p>
        </w:tc>
      </w:tr>
      <w:tr w:rsidR="00CE2DA2" w:rsidRPr="00317AA7" w14:paraId="789BBF6F" w14:textId="77777777">
        <w:tc>
          <w:tcPr>
            <w:tcW w:w="2400" w:type="dxa"/>
            <w:shd w:val="clear" w:color="auto" w:fill="F2F2F2"/>
            <w:tcMar>
              <w:top w:w="60" w:type="dxa"/>
              <w:left w:w="100" w:type="dxa"/>
              <w:bottom w:w="60" w:type="dxa"/>
              <w:right w:w="100" w:type="dxa"/>
            </w:tcMar>
          </w:tcPr>
          <w:p w14:paraId="57D4CBF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9A20B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dispone de la visión consolidada del estado de la cartera de pedidos en tránsito.</w:t>
            </w:r>
          </w:p>
        </w:tc>
      </w:tr>
    </w:tbl>
    <w:p w14:paraId="0A0C09CD"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CU-03: Ver el detalle de un pedido específico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AFDAACC" w14:textId="77777777">
        <w:tc>
          <w:tcPr>
            <w:tcW w:w="2400" w:type="dxa"/>
            <w:shd w:val="clear" w:color="auto" w:fill="F2F2F2"/>
            <w:tcMar>
              <w:top w:w="60" w:type="dxa"/>
              <w:left w:w="100" w:type="dxa"/>
              <w:bottom w:w="60" w:type="dxa"/>
              <w:right w:w="100" w:type="dxa"/>
            </w:tcMar>
          </w:tcPr>
          <w:p w14:paraId="0AE0B65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9C022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63F0B3C" w14:textId="77777777">
        <w:tc>
          <w:tcPr>
            <w:tcW w:w="2400" w:type="dxa"/>
            <w:shd w:val="clear" w:color="auto" w:fill="F2F2F2"/>
            <w:tcMar>
              <w:top w:w="60" w:type="dxa"/>
              <w:left w:w="100" w:type="dxa"/>
              <w:bottom w:w="60" w:type="dxa"/>
              <w:right w:w="100" w:type="dxa"/>
            </w:tcMar>
          </w:tcPr>
          <w:p w14:paraId="408E16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6131CA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la grilla de pedidos o un marcador en el mapa.</w:t>
            </w:r>
          </w:p>
        </w:tc>
      </w:tr>
      <w:tr w:rsidR="00CE2DA2" w:rsidRPr="00317AA7" w14:paraId="47460F9E" w14:textId="77777777">
        <w:tc>
          <w:tcPr>
            <w:tcW w:w="2400" w:type="dxa"/>
            <w:shd w:val="clear" w:color="auto" w:fill="F2F2F2"/>
            <w:tcMar>
              <w:top w:w="60" w:type="dxa"/>
              <w:left w:w="100" w:type="dxa"/>
              <w:bottom w:w="60" w:type="dxa"/>
              <w:right w:w="100" w:type="dxa"/>
            </w:tcMar>
          </w:tcPr>
          <w:p w14:paraId="7B9ECB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15E250C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selecciona un pedido en la grilla o su marcador en el mapa.</w:t>
            </w:r>
          </w:p>
          <w:p w14:paraId="2642B6B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el detalle completo del pedido.</w:t>
            </w:r>
          </w:p>
          <w:p w14:paraId="686785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presenta los datos maestros: orden de compra, posición, material, proveedor, fecha de entrega comprometida, vía y destino.</w:t>
            </w:r>
          </w:p>
          <w:p w14:paraId="667B8FF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los datos de rastreo: tipo y valor del identificador externo, última posición conocida, ETA, ATA si existe y fecha de la última consulta exitosa.</w:t>
            </w:r>
          </w:p>
          <w:p w14:paraId="2D4E1E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el desglose del cálculo de la fecha proyectada de disponibilidad y el estado resultante.</w:t>
            </w:r>
          </w:p>
          <w:p w14:paraId="28EDD66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usuario puede navegar desde aquí al historial de tracking del pedido.</w:t>
            </w:r>
          </w:p>
        </w:tc>
      </w:tr>
      <w:tr w:rsidR="00CE2DA2" w:rsidRPr="00317AA7" w14:paraId="0C00570E" w14:textId="77777777">
        <w:tc>
          <w:tcPr>
            <w:tcW w:w="2400" w:type="dxa"/>
            <w:shd w:val="clear" w:color="auto" w:fill="F2F2F2"/>
            <w:tcMar>
              <w:top w:w="60" w:type="dxa"/>
              <w:left w:w="100" w:type="dxa"/>
              <w:bottom w:w="60" w:type="dxa"/>
              <w:right w:w="100" w:type="dxa"/>
            </w:tcMar>
          </w:tcPr>
          <w:p w14:paraId="65D20C1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625E9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pedido carece de identificador de rastreo: el sistema presenta los datos maestros e indica que el pedido no es rastreable automáticamente, ofreciendo la acción de asociar un identificador.</w:t>
            </w:r>
          </w:p>
          <w:p w14:paraId="376A81B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Nunca se obtuvo una lectura exitosa: el sistema indica que no hay posición disponible.</w:t>
            </w:r>
          </w:p>
        </w:tc>
      </w:tr>
      <w:tr w:rsidR="00CE2DA2" w:rsidRPr="00317AA7" w14:paraId="43A1ACF7" w14:textId="77777777">
        <w:tc>
          <w:tcPr>
            <w:tcW w:w="2400" w:type="dxa"/>
            <w:shd w:val="clear" w:color="auto" w:fill="F2F2F2"/>
            <w:tcMar>
              <w:top w:w="60" w:type="dxa"/>
              <w:left w:w="100" w:type="dxa"/>
              <w:bottom w:w="60" w:type="dxa"/>
              <w:right w:w="100" w:type="dxa"/>
            </w:tcMar>
          </w:tcPr>
          <w:p w14:paraId="04185F5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60D9F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el detalle del pedido y el fundamento de su estado calculado.</w:t>
            </w:r>
          </w:p>
        </w:tc>
      </w:tr>
    </w:tbl>
    <w:p w14:paraId="2C754B1C"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CU-04: Filtrar pedidos por vía, estado y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13F9452" w14:textId="77777777">
        <w:tc>
          <w:tcPr>
            <w:tcW w:w="2400" w:type="dxa"/>
            <w:shd w:val="clear" w:color="auto" w:fill="F2F2F2"/>
            <w:tcMar>
              <w:top w:w="60" w:type="dxa"/>
              <w:left w:w="100" w:type="dxa"/>
              <w:bottom w:w="60" w:type="dxa"/>
              <w:right w:w="100" w:type="dxa"/>
            </w:tcMar>
          </w:tcPr>
          <w:p w14:paraId="2ACF40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BF0D5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08AF395" w14:textId="77777777">
        <w:tc>
          <w:tcPr>
            <w:tcW w:w="2400" w:type="dxa"/>
            <w:shd w:val="clear" w:color="auto" w:fill="F2F2F2"/>
            <w:tcMar>
              <w:top w:w="60" w:type="dxa"/>
              <w:left w:w="100" w:type="dxa"/>
              <w:bottom w:w="60" w:type="dxa"/>
              <w:right w:w="100" w:type="dxa"/>
            </w:tcMar>
          </w:tcPr>
          <w:p w14:paraId="4F29CEC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Precondiciones</w:t>
            </w:r>
          </w:p>
        </w:tc>
        <w:tc>
          <w:tcPr>
            <w:tcW w:w="6960" w:type="dxa"/>
            <w:tcMar>
              <w:top w:w="60" w:type="dxa"/>
              <w:left w:w="100" w:type="dxa"/>
              <w:bottom w:w="60" w:type="dxa"/>
              <w:right w:w="100" w:type="dxa"/>
            </w:tcMar>
          </w:tcPr>
          <w:p w14:paraId="11ED88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dashboard con al menos un pedido cargado.</w:t>
            </w:r>
          </w:p>
        </w:tc>
      </w:tr>
      <w:tr w:rsidR="00CE2DA2" w:rsidRPr="00317AA7" w14:paraId="3BB9D874" w14:textId="77777777">
        <w:tc>
          <w:tcPr>
            <w:tcW w:w="2400" w:type="dxa"/>
            <w:shd w:val="clear" w:color="auto" w:fill="F2F2F2"/>
            <w:tcMar>
              <w:top w:w="60" w:type="dxa"/>
              <w:left w:w="100" w:type="dxa"/>
              <w:bottom w:w="60" w:type="dxa"/>
              <w:right w:w="100" w:type="dxa"/>
            </w:tcMar>
          </w:tcPr>
          <w:p w14:paraId="4DAF866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61C4E1A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despliega la barra de filtros superior.</w:t>
            </w:r>
          </w:p>
          <w:p w14:paraId="5910DC1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selecciona uno o varios criterios: orden de compra, proveedor, material, vía de transporte, estado o destino.</w:t>
            </w:r>
          </w:p>
          <w:p w14:paraId="76D943A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aplica los criterios de forma conjunta sobre el conjunto de pedidos.</w:t>
            </w:r>
          </w:p>
          <w:p w14:paraId="08069A2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actualiza simultáneamente la cinta de KPIs, la grilla y ambos mapas.</w:t>
            </w:r>
          </w:p>
          <w:p w14:paraId="005443C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indica el número de pedidos que satisfacen el filtro.</w:t>
            </w:r>
          </w:p>
        </w:tc>
      </w:tr>
      <w:tr w:rsidR="00CE2DA2" w:rsidRPr="00317AA7" w14:paraId="636D19FE" w14:textId="77777777">
        <w:tc>
          <w:tcPr>
            <w:tcW w:w="2400" w:type="dxa"/>
            <w:shd w:val="clear" w:color="auto" w:fill="F2F2F2"/>
            <w:tcMar>
              <w:top w:w="60" w:type="dxa"/>
              <w:left w:w="100" w:type="dxa"/>
              <w:bottom w:w="60" w:type="dxa"/>
              <w:right w:w="100" w:type="dxa"/>
            </w:tcMar>
          </w:tcPr>
          <w:p w14:paraId="63B1B0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32D9C9A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Ningún pedido satisface la combinación de criterios: el sistema presenta la vista vacía con un mensaje explicativo y la opción de limpiar los filtros.</w:t>
            </w:r>
          </w:p>
          <w:p w14:paraId="681AB3B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usuario limpia los filtros: el sistema restablece la vista completa.</w:t>
            </w:r>
          </w:p>
        </w:tc>
      </w:tr>
      <w:tr w:rsidR="00CE2DA2" w:rsidRPr="00317AA7" w14:paraId="6B1B334E" w14:textId="77777777">
        <w:tc>
          <w:tcPr>
            <w:tcW w:w="2400" w:type="dxa"/>
            <w:shd w:val="clear" w:color="auto" w:fill="F2F2F2"/>
            <w:tcMar>
              <w:top w:w="60" w:type="dxa"/>
              <w:left w:w="100" w:type="dxa"/>
              <w:bottom w:w="60" w:type="dxa"/>
              <w:right w:w="100" w:type="dxa"/>
            </w:tcMar>
          </w:tcPr>
          <w:p w14:paraId="6B8B0D0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080752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componentes del dashboard reflejan de forma coherente el subconjunto seleccionado.</w:t>
            </w:r>
          </w:p>
        </w:tc>
      </w:tr>
    </w:tbl>
    <w:p w14:paraId="0D8C24E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CU-05: Confirmar el desembarco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B5EF297" w14:textId="77777777">
        <w:tc>
          <w:tcPr>
            <w:tcW w:w="2400" w:type="dxa"/>
            <w:shd w:val="clear" w:color="auto" w:fill="F2F2F2"/>
            <w:tcMar>
              <w:top w:w="60" w:type="dxa"/>
              <w:left w:w="100" w:type="dxa"/>
              <w:bottom w:w="60" w:type="dxa"/>
              <w:right w:w="100" w:type="dxa"/>
            </w:tcMar>
          </w:tcPr>
          <w:p w14:paraId="546FBB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D6BCB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17F43414" w14:textId="77777777">
        <w:tc>
          <w:tcPr>
            <w:tcW w:w="2400" w:type="dxa"/>
            <w:shd w:val="clear" w:color="auto" w:fill="F2F2F2"/>
            <w:tcMar>
              <w:top w:w="60" w:type="dxa"/>
              <w:left w:w="100" w:type="dxa"/>
              <w:bottom w:w="60" w:type="dxa"/>
              <w:right w:w="100" w:type="dxa"/>
            </w:tcMar>
          </w:tcPr>
          <w:p w14:paraId="548D51E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C8B52C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perfil de Logística. El pedido existe y no está en estado terminal. En el proceso actual la llegada efectiva no se registra en ningún sistema: SAP sólo conserva la ETA, y es el transportista quien avisa a Logística cuando la carga está disponible y quien ejecuta el redestino desde el puerto hasta el almacén fiscal. TrackIn introduce este registro, que hoy no existe.</w:t>
            </w:r>
          </w:p>
        </w:tc>
      </w:tr>
      <w:tr w:rsidR="00CE2DA2" w:rsidRPr="00317AA7" w14:paraId="68476359" w14:textId="77777777">
        <w:tc>
          <w:tcPr>
            <w:tcW w:w="2400" w:type="dxa"/>
            <w:shd w:val="clear" w:color="auto" w:fill="F2F2F2"/>
            <w:tcMar>
              <w:top w:w="60" w:type="dxa"/>
              <w:left w:w="100" w:type="dxa"/>
              <w:bottom w:w="60" w:type="dxa"/>
              <w:right w:w="100" w:type="dxa"/>
            </w:tcMar>
          </w:tcPr>
          <w:p w14:paraId="0E7EA0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2AD3F86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transportista notifica a Logística la disponibilidad de la carga en destino.</w:t>
            </w:r>
          </w:p>
          <w:p w14:paraId="019AF27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accede al detalle del pedido cuyo desembarco desea confirmar.</w:t>
            </w:r>
          </w:p>
          <w:p w14:paraId="30549DA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selecciona la acción de confirmar desembarco.</w:t>
            </w:r>
          </w:p>
          <w:p w14:paraId="3930715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solicita la fecha y hora reales de llegada y un motivo u observación.</w:t>
            </w:r>
          </w:p>
          <w:p w14:paraId="12784CD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usuario introduce los datos y confirma.</w:t>
            </w:r>
          </w:p>
          <w:p w14:paraId="2C28A16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registra la ATA confirmada, que pasa a tener precedencia sobre la ETA de la API.</w:t>
            </w:r>
          </w:p>
          <w:p w14:paraId="2DC5E42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recalcula la fecha proyectada de disponibilidad y el estado del pedido.</w:t>
            </w:r>
          </w:p>
          <w:p w14:paraId="1BCFB62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8. El sistema registra la intervención en la bitácora de auditoría con usuario, fecha, valores anterior y nuevo, y motivo.</w:t>
            </w:r>
          </w:p>
          <w:p w14:paraId="0A8B5F7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9. El sistema actualiza la grilla y los mapas.</w:t>
            </w:r>
          </w:p>
        </w:tc>
      </w:tr>
      <w:tr w:rsidR="00CE2DA2" w:rsidRPr="00317AA7" w14:paraId="75CD6D06" w14:textId="77777777">
        <w:tc>
          <w:tcPr>
            <w:tcW w:w="2400" w:type="dxa"/>
            <w:shd w:val="clear" w:color="auto" w:fill="F2F2F2"/>
            <w:tcMar>
              <w:top w:w="60" w:type="dxa"/>
              <w:left w:w="100" w:type="dxa"/>
              <w:bottom w:w="60" w:type="dxa"/>
              <w:right w:w="100" w:type="dxa"/>
            </w:tcMar>
          </w:tcPr>
          <w:p w14:paraId="15BB47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CB45CC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1a. La carga llega consolidada con embarques de otros importadores y el transportista informa la disponibilidad por contenedor: el usuario confirma el desembarco de cada pedido afectado de forma independiente.</w:t>
            </w:r>
          </w:p>
          <w:p w14:paraId="1FDA30A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La fecha introducida es futura: el sistema la rechaza e informa que la confirmación de desembarco requiere una fecha no posterior al momento actual.</w:t>
            </w:r>
          </w:p>
          <w:p w14:paraId="108910A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El usuario cancela: el sistema descarta la operación sin alterar el pedido.</w:t>
            </w:r>
          </w:p>
          <w:p w14:paraId="75514B1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El pedido ya contaba con una ATA confirmada: el sistema advierte de la sobrescritura y exige confirmación explícita.</w:t>
            </w:r>
          </w:p>
        </w:tc>
      </w:tr>
      <w:tr w:rsidR="00CE2DA2" w:rsidRPr="00317AA7" w14:paraId="2FDA868A" w14:textId="77777777">
        <w:tc>
          <w:tcPr>
            <w:tcW w:w="2400" w:type="dxa"/>
            <w:shd w:val="clear" w:color="auto" w:fill="F2F2F2"/>
            <w:tcMar>
              <w:top w:w="60" w:type="dxa"/>
              <w:left w:w="100" w:type="dxa"/>
              <w:bottom w:w="60" w:type="dxa"/>
              <w:right w:w="100" w:type="dxa"/>
            </w:tcMar>
          </w:tcPr>
          <w:p w14:paraId="64DC705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CDDE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refleja su llegada real. El estado se recalcula y la intervención queda auditada.</w:t>
            </w:r>
          </w:p>
        </w:tc>
      </w:tr>
    </w:tbl>
    <w:p w14:paraId="6D6823B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CU-06: Actualizar el maestro de destinos y lead times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6E51FBA" w14:textId="77777777">
        <w:tc>
          <w:tcPr>
            <w:tcW w:w="2400" w:type="dxa"/>
            <w:shd w:val="clear" w:color="auto" w:fill="F2F2F2"/>
            <w:tcMar>
              <w:top w:w="60" w:type="dxa"/>
              <w:left w:w="100" w:type="dxa"/>
              <w:bottom w:w="60" w:type="dxa"/>
              <w:right w:w="100" w:type="dxa"/>
            </w:tcMar>
          </w:tcPr>
          <w:p w14:paraId="4F2E02A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329D5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Administrador del sistema</w:t>
            </w:r>
          </w:p>
        </w:tc>
      </w:tr>
      <w:tr w:rsidR="00CE2DA2" w:rsidRPr="00317AA7" w14:paraId="3AB2269D" w14:textId="77777777">
        <w:tc>
          <w:tcPr>
            <w:tcW w:w="2400" w:type="dxa"/>
            <w:shd w:val="clear" w:color="auto" w:fill="F2F2F2"/>
            <w:tcMar>
              <w:top w:w="60" w:type="dxa"/>
              <w:left w:w="100" w:type="dxa"/>
              <w:bottom w:w="60" w:type="dxa"/>
              <w:right w:w="100" w:type="dxa"/>
            </w:tcMar>
          </w:tcPr>
          <w:p w14:paraId="7EFF1BB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1BD7A3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permisos de mantenimiento de maestros.</w:t>
            </w:r>
          </w:p>
        </w:tc>
      </w:tr>
      <w:tr w:rsidR="00CE2DA2" w:rsidRPr="00317AA7" w14:paraId="5013D025" w14:textId="77777777">
        <w:tc>
          <w:tcPr>
            <w:tcW w:w="2400" w:type="dxa"/>
            <w:shd w:val="clear" w:color="auto" w:fill="F2F2F2"/>
            <w:tcMar>
              <w:top w:w="60" w:type="dxa"/>
              <w:left w:w="100" w:type="dxa"/>
              <w:bottom w:w="60" w:type="dxa"/>
              <w:right w:w="100" w:type="dxa"/>
            </w:tcMar>
          </w:tcPr>
          <w:p w14:paraId="5F80266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524E47A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 la administración del maestro de destinos.</w:t>
            </w:r>
          </w:p>
          <w:p w14:paraId="4ABA521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presenta los destinos registrados con su vía de transporte, su lead time en días y su estado de activación.</w:t>
            </w:r>
          </w:p>
          <w:p w14:paraId="68EC717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crea un destino nuevo o selecciona uno existente para modificarlo.</w:t>
            </w:r>
          </w:p>
          <w:p w14:paraId="51C970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introduce o ajusta el nombre del destino, la vía de transporte, el lead time en días y las observaciones.</w:t>
            </w:r>
          </w:p>
          <w:p w14:paraId="37E6B2F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valida los datos y persiste el cambio.</w:t>
            </w:r>
          </w:p>
          <w:p w14:paraId="286C518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identifica los pedidos activos asociados a ese destino y los marca para recálculo.</w:t>
            </w:r>
          </w:p>
          <w:p w14:paraId="5E813AF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recalcula la fecha proyectada y el estado de los pedidos afectados.</w:t>
            </w:r>
          </w:p>
        </w:tc>
      </w:tr>
      <w:tr w:rsidR="00CE2DA2" w:rsidRPr="00317AA7" w14:paraId="273DFC63" w14:textId="77777777">
        <w:tc>
          <w:tcPr>
            <w:tcW w:w="2400" w:type="dxa"/>
            <w:shd w:val="clear" w:color="auto" w:fill="F2F2F2"/>
            <w:tcMar>
              <w:top w:w="60" w:type="dxa"/>
              <w:left w:w="100" w:type="dxa"/>
              <w:bottom w:w="60" w:type="dxa"/>
              <w:right w:w="100" w:type="dxa"/>
            </w:tcMar>
          </w:tcPr>
          <w:p w14:paraId="2324F67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5C109AC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El lead time introducido es negativo o no numérico: el sistema rechaza el valor e informa el formato esperado.</w:t>
            </w:r>
          </w:p>
          <w:p w14:paraId="040DE8A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Ya existe un destino con el mismo nombre y vía: el sistema impide la duplicación.</w:t>
            </w:r>
          </w:p>
          <w:p w14:paraId="24A3494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El usuario desactiva un destino con pedidos activos asociados: el sistema advierte del impacto y solicita confirmación.</w:t>
            </w:r>
          </w:p>
        </w:tc>
      </w:tr>
      <w:tr w:rsidR="00CE2DA2" w:rsidRPr="00317AA7" w14:paraId="00A45316" w14:textId="77777777">
        <w:tc>
          <w:tcPr>
            <w:tcW w:w="2400" w:type="dxa"/>
            <w:shd w:val="clear" w:color="auto" w:fill="F2F2F2"/>
            <w:tcMar>
              <w:top w:w="60" w:type="dxa"/>
              <w:left w:w="100" w:type="dxa"/>
              <w:bottom w:w="60" w:type="dxa"/>
              <w:right w:w="100" w:type="dxa"/>
            </w:tcMar>
          </w:tcPr>
          <w:p w14:paraId="1008172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216D7E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maestro refleja los valores vigentes y los pedidos afectados presentan su estado recalculado.</w:t>
            </w:r>
          </w:p>
        </w:tc>
      </w:tr>
    </w:tbl>
    <w:p w14:paraId="3B14237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CU-07: Ver el mapa marítimo con posiciones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E53000D" w14:textId="77777777">
        <w:tc>
          <w:tcPr>
            <w:tcW w:w="2400" w:type="dxa"/>
            <w:shd w:val="clear" w:color="auto" w:fill="F2F2F2"/>
            <w:tcMar>
              <w:top w:w="60" w:type="dxa"/>
              <w:left w:w="100" w:type="dxa"/>
              <w:bottom w:w="60" w:type="dxa"/>
              <w:right w:w="100" w:type="dxa"/>
            </w:tcMar>
          </w:tcPr>
          <w:p w14:paraId="0EA1A0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994D8E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746FB3F" w14:textId="77777777">
        <w:tc>
          <w:tcPr>
            <w:tcW w:w="2400" w:type="dxa"/>
            <w:shd w:val="clear" w:color="auto" w:fill="F2F2F2"/>
            <w:tcMar>
              <w:top w:w="60" w:type="dxa"/>
              <w:left w:w="100" w:type="dxa"/>
              <w:bottom w:w="60" w:type="dxa"/>
              <w:right w:w="100" w:type="dxa"/>
            </w:tcMar>
          </w:tcPr>
          <w:p w14:paraId="2135A12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1752C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marítimo con identificador de nave y posición conocida.</w:t>
            </w:r>
          </w:p>
        </w:tc>
      </w:tr>
      <w:tr w:rsidR="00CE2DA2" w:rsidRPr="00317AA7" w14:paraId="4FD733BF" w14:textId="77777777">
        <w:tc>
          <w:tcPr>
            <w:tcW w:w="2400" w:type="dxa"/>
            <w:shd w:val="clear" w:color="auto" w:fill="F2F2F2"/>
            <w:tcMar>
              <w:top w:w="60" w:type="dxa"/>
              <w:left w:w="100" w:type="dxa"/>
              <w:bottom w:w="60" w:type="dxa"/>
              <w:right w:w="100" w:type="dxa"/>
            </w:tcMar>
          </w:tcPr>
          <w:p w14:paraId="6921550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3EC7259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dirige su atención al mapa marítimo del dashboard.</w:t>
            </w:r>
          </w:p>
          <w:p w14:paraId="78FAC37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la última posición conocida de cada nave asociada a los pedidos marítimos del filtro activo.</w:t>
            </w:r>
          </w:p>
          <w:p w14:paraId="472A68E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representa cada nave como un marcador coloreado según el estado del pedido.</w:t>
            </w:r>
          </w:p>
          <w:p w14:paraId="41064AE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posa el cursor sobre un marcador o lo selecciona.</w:t>
            </w:r>
          </w:p>
          <w:p w14:paraId="2973EDC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información emergente: orden de compra, material, proveedor, ETA, fecha proyectada y estado.</w:t>
            </w:r>
          </w:p>
          <w:p w14:paraId="5F76138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usuario puede desplazar y acercar el mapa libremente.</w:t>
            </w:r>
          </w:p>
        </w:tc>
      </w:tr>
      <w:tr w:rsidR="00CE2DA2" w:rsidRPr="00317AA7" w14:paraId="17F20A21" w14:textId="77777777">
        <w:tc>
          <w:tcPr>
            <w:tcW w:w="2400" w:type="dxa"/>
            <w:shd w:val="clear" w:color="auto" w:fill="F2F2F2"/>
            <w:tcMar>
              <w:top w:w="60" w:type="dxa"/>
              <w:left w:w="100" w:type="dxa"/>
              <w:bottom w:w="60" w:type="dxa"/>
              <w:right w:w="100" w:type="dxa"/>
            </w:tcMar>
          </w:tcPr>
          <w:p w14:paraId="0DE9183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252595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Una nave carece de lectura reciente: el sistema representa su última posición conocida diferenciándola visualmente e indicando su antigüedad.</w:t>
            </w:r>
          </w:p>
          <w:p w14:paraId="6C3AE96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Varias naves coinciden en una zona reducida: el sistema agrupa los marcadores y los despliega al acercar la vista.</w:t>
            </w:r>
          </w:p>
          <w:p w14:paraId="2B19CD9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El usuario selecciona el marcador: el sistema ofrece navegar al detalle del pedido.</w:t>
            </w:r>
          </w:p>
        </w:tc>
      </w:tr>
      <w:tr w:rsidR="00CE2DA2" w:rsidRPr="00317AA7" w14:paraId="1FB73F8F" w14:textId="77777777">
        <w:tc>
          <w:tcPr>
            <w:tcW w:w="2400" w:type="dxa"/>
            <w:shd w:val="clear" w:color="auto" w:fill="F2F2F2"/>
            <w:tcMar>
              <w:top w:w="60" w:type="dxa"/>
              <w:left w:w="100" w:type="dxa"/>
              <w:bottom w:w="60" w:type="dxa"/>
              <w:right w:w="100" w:type="dxa"/>
            </w:tcMar>
          </w:tcPr>
          <w:p w14:paraId="3B7B64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Postcondiciones</w:t>
            </w:r>
          </w:p>
        </w:tc>
        <w:tc>
          <w:tcPr>
            <w:tcW w:w="6960" w:type="dxa"/>
            <w:tcMar>
              <w:top w:w="60" w:type="dxa"/>
              <w:left w:w="100" w:type="dxa"/>
              <w:bottom w:w="60" w:type="dxa"/>
              <w:right w:w="100" w:type="dxa"/>
            </w:tcMar>
          </w:tcPr>
          <w:p w14:paraId="07D55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ubicación geográfica de sus cargas marítimas y su estado.</w:t>
            </w:r>
          </w:p>
        </w:tc>
      </w:tr>
    </w:tbl>
    <w:p w14:paraId="540E183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CU-08: Ver el mapa aéreo con vuelos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6722F43" w14:textId="77777777">
        <w:tc>
          <w:tcPr>
            <w:tcW w:w="2400" w:type="dxa"/>
            <w:shd w:val="clear" w:color="auto" w:fill="F2F2F2"/>
            <w:tcMar>
              <w:top w:w="60" w:type="dxa"/>
              <w:left w:w="100" w:type="dxa"/>
              <w:bottom w:w="60" w:type="dxa"/>
              <w:right w:w="100" w:type="dxa"/>
            </w:tcMar>
          </w:tcPr>
          <w:p w14:paraId="3BC3792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50AB2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5AD12FAA" w14:textId="77777777">
        <w:tc>
          <w:tcPr>
            <w:tcW w:w="2400" w:type="dxa"/>
            <w:shd w:val="clear" w:color="auto" w:fill="F2F2F2"/>
            <w:tcMar>
              <w:top w:w="60" w:type="dxa"/>
              <w:left w:w="100" w:type="dxa"/>
              <w:bottom w:w="60" w:type="dxa"/>
              <w:right w:w="100" w:type="dxa"/>
            </w:tcMar>
          </w:tcPr>
          <w:p w14:paraId="358BE01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522119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aéreo con identificador de vuelo y posición conocida.</w:t>
            </w:r>
          </w:p>
        </w:tc>
      </w:tr>
      <w:tr w:rsidR="00CE2DA2" w:rsidRPr="00317AA7" w14:paraId="0FD9F41E" w14:textId="77777777">
        <w:tc>
          <w:tcPr>
            <w:tcW w:w="2400" w:type="dxa"/>
            <w:shd w:val="clear" w:color="auto" w:fill="F2F2F2"/>
            <w:tcMar>
              <w:top w:w="60" w:type="dxa"/>
              <w:left w:w="100" w:type="dxa"/>
              <w:bottom w:w="60" w:type="dxa"/>
              <w:right w:w="100" w:type="dxa"/>
            </w:tcMar>
          </w:tcPr>
          <w:p w14:paraId="261E810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7B497F9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dirige su atención al mapa aéreo del dashboard.</w:t>
            </w:r>
          </w:p>
          <w:p w14:paraId="4DB1136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la posición de las aeronaves asociadas a los pedidos aéreos del filtro activo.</w:t>
            </w:r>
          </w:p>
          <w:p w14:paraId="1D425C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representa cada aeronave como un marcador coloreado según el estado del pedido.</w:t>
            </w:r>
          </w:p>
          <w:p w14:paraId="15DC599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posa el cursor sobre un marcador o lo selecciona.</w:t>
            </w:r>
          </w:p>
          <w:p w14:paraId="4166626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información emergente del pedido asociado.</w:t>
            </w:r>
          </w:p>
        </w:tc>
      </w:tr>
      <w:tr w:rsidR="00CE2DA2" w:rsidRPr="00317AA7" w14:paraId="4843AF9B" w14:textId="77777777">
        <w:tc>
          <w:tcPr>
            <w:tcW w:w="2400" w:type="dxa"/>
            <w:shd w:val="clear" w:color="auto" w:fill="F2F2F2"/>
            <w:tcMar>
              <w:top w:w="60" w:type="dxa"/>
              <w:left w:w="100" w:type="dxa"/>
              <w:bottom w:w="60" w:type="dxa"/>
              <w:right w:w="100" w:type="dxa"/>
            </w:tcMar>
          </w:tcPr>
          <w:p w14:paraId="3776EF8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68D0C71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vuelo ha finalizado y ya no emite ADS-B: el sistema representa la última posición registrada e indica que el vuelo concluyó.</w:t>
            </w:r>
          </w:p>
          <w:p w14:paraId="2C72B98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2b. La cobertura ADS-B no alcanza la posición actual de la aeronave: el sistema conserva la última posición válida y señala la antigüedad del dato.</w:t>
            </w:r>
          </w:p>
        </w:tc>
      </w:tr>
      <w:tr w:rsidR="00CE2DA2" w:rsidRPr="00317AA7" w14:paraId="0FB82B85" w14:textId="77777777">
        <w:tc>
          <w:tcPr>
            <w:tcW w:w="2400" w:type="dxa"/>
            <w:shd w:val="clear" w:color="auto" w:fill="F2F2F2"/>
            <w:tcMar>
              <w:top w:w="60" w:type="dxa"/>
              <w:left w:w="100" w:type="dxa"/>
              <w:bottom w:w="60" w:type="dxa"/>
              <w:right w:w="100" w:type="dxa"/>
            </w:tcMar>
          </w:tcPr>
          <w:p w14:paraId="67B49F0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746BC7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ubicación de sus cargas aéreas y su estado.</w:t>
            </w:r>
          </w:p>
        </w:tc>
      </w:tr>
    </w:tbl>
    <w:p w14:paraId="276A597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CU-09: Consultar el historial de tracking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6432A46" w14:textId="77777777">
        <w:tc>
          <w:tcPr>
            <w:tcW w:w="2400" w:type="dxa"/>
            <w:shd w:val="clear" w:color="auto" w:fill="F2F2F2"/>
            <w:tcMar>
              <w:top w:w="60" w:type="dxa"/>
              <w:left w:w="100" w:type="dxa"/>
              <w:bottom w:w="60" w:type="dxa"/>
              <w:right w:w="100" w:type="dxa"/>
            </w:tcMar>
          </w:tcPr>
          <w:p w14:paraId="35F632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410A61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Usuario de Compras</w:t>
            </w:r>
          </w:p>
        </w:tc>
      </w:tr>
      <w:tr w:rsidR="00CE2DA2" w:rsidRPr="00317AA7" w14:paraId="74FA3EE2" w14:textId="77777777">
        <w:tc>
          <w:tcPr>
            <w:tcW w:w="2400" w:type="dxa"/>
            <w:shd w:val="clear" w:color="auto" w:fill="F2F2F2"/>
            <w:tcMar>
              <w:top w:w="60" w:type="dxa"/>
              <w:left w:w="100" w:type="dxa"/>
              <w:bottom w:w="60" w:type="dxa"/>
              <w:right w:w="100" w:type="dxa"/>
            </w:tcMar>
          </w:tcPr>
          <w:p w14:paraId="19B9A9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2B501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al menos un registro en su historial de posiciones.</w:t>
            </w:r>
          </w:p>
        </w:tc>
      </w:tr>
      <w:tr w:rsidR="00CE2DA2" w:rsidRPr="00317AA7" w14:paraId="1ED7E4B6" w14:textId="77777777">
        <w:tc>
          <w:tcPr>
            <w:tcW w:w="2400" w:type="dxa"/>
            <w:shd w:val="clear" w:color="auto" w:fill="F2F2F2"/>
            <w:tcMar>
              <w:top w:w="60" w:type="dxa"/>
              <w:left w:w="100" w:type="dxa"/>
              <w:bottom w:w="60" w:type="dxa"/>
              <w:right w:w="100" w:type="dxa"/>
            </w:tcMar>
          </w:tcPr>
          <w:p w14:paraId="3F4B5E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497F369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al detalle del pedido.</w:t>
            </w:r>
          </w:p>
          <w:p w14:paraId="305DC08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selecciona la opción de consultar el historial de tracking.</w:t>
            </w:r>
          </w:p>
          <w:p w14:paraId="17AEEE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recupera la secuencia cronológica de posiciones registradas.</w:t>
            </w:r>
          </w:p>
          <w:p w14:paraId="2D02815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secuencia en forma de tabla, con fecha de captura, coordenadas, velocidad, rumbo y estado reportado por la fuente.</w:t>
            </w:r>
          </w:p>
          <w:p w14:paraId="5428086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representa el trayecto recorrido sobre el mapa correspondiente a la vía del pedido.</w:t>
            </w:r>
          </w:p>
        </w:tc>
      </w:tr>
      <w:tr w:rsidR="00CE2DA2" w:rsidRPr="00317AA7" w14:paraId="5ED3F453" w14:textId="77777777">
        <w:tc>
          <w:tcPr>
            <w:tcW w:w="2400" w:type="dxa"/>
            <w:shd w:val="clear" w:color="auto" w:fill="F2F2F2"/>
            <w:tcMar>
              <w:top w:w="60" w:type="dxa"/>
              <w:left w:w="100" w:type="dxa"/>
              <w:bottom w:w="60" w:type="dxa"/>
              <w:right w:w="100" w:type="dxa"/>
            </w:tcMar>
          </w:tcPr>
          <w:p w14:paraId="5B6DEC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23269BD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El pedido cuenta con un solo registro: el sistema presenta el punto sin trazar trayecto.</w:t>
            </w:r>
          </w:p>
          <w:p w14:paraId="1B35178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El usuario solicita el detalle técnico de un registro: el sistema presenta el payload original de la respuesta de la API.</w:t>
            </w:r>
          </w:p>
        </w:tc>
      </w:tr>
      <w:tr w:rsidR="00CE2DA2" w:rsidRPr="00317AA7" w14:paraId="38715CA7" w14:textId="77777777">
        <w:tc>
          <w:tcPr>
            <w:tcW w:w="2400" w:type="dxa"/>
            <w:shd w:val="clear" w:color="auto" w:fill="F2F2F2"/>
            <w:tcMar>
              <w:top w:w="60" w:type="dxa"/>
              <w:left w:w="100" w:type="dxa"/>
              <w:bottom w:w="60" w:type="dxa"/>
              <w:right w:w="100" w:type="dxa"/>
            </w:tcMar>
          </w:tcPr>
          <w:p w14:paraId="0450F8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148299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evolución de la carga a lo largo del tiempo y dispone de la evidencia para auditoría.</w:t>
            </w:r>
          </w:p>
        </w:tc>
      </w:tr>
    </w:tbl>
    <w:p w14:paraId="1EBF8D57"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CU-10: Actualizar la nave de un pedido ante un transbordo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C9E3FA0" w14:textId="77777777">
        <w:tc>
          <w:tcPr>
            <w:tcW w:w="2400" w:type="dxa"/>
            <w:shd w:val="clear" w:color="auto" w:fill="F2F2F2"/>
            <w:tcMar>
              <w:top w:w="60" w:type="dxa"/>
              <w:left w:w="100" w:type="dxa"/>
              <w:bottom w:w="60" w:type="dxa"/>
              <w:right w:w="100" w:type="dxa"/>
            </w:tcMar>
          </w:tcPr>
          <w:p w14:paraId="359E0F4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BBC29D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1ECE0316" w14:textId="77777777">
        <w:tc>
          <w:tcPr>
            <w:tcW w:w="2400" w:type="dxa"/>
            <w:shd w:val="clear" w:color="auto" w:fill="F2F2F2"/>
            <w:tcMar>
              <w:top w:w="60" w:type="dxa"/>
              <w:left w:w="100" w:type="dxa"/>
              <w:bottom w:w="60" w:type="dxa"/>
              <w:right w:w="100" w:type="dxa"/>
            </w:tcMar>
          </w:tcPr>
          <w:p w14:paraId="6DFBB62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Precondiciones</w:t>
            </w:r>
          </w:p>
        </w:tc>
        <w:tc>
          <w:tcPr>
            <w:tcW w:w="6960" w:type="dxa"/>
            <w:tcMar>
              <w:top w:w="60" w:type="dxa"/>
              <w:left w:w="100" w:type="dxa"/>
              <w:bottom w:w="60" w:type="dxa"/>
              <w:right w:w="100" w:type="dxa"/>
            </w:tcMar>
          </w:tcPr>
          <w:p w14:paraId="6C875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es de vía marítima y cuenta con una nave asociada. El transportista ha notificado un transbordo en un puerto intermedio.</w:t>
            </w:r>
          </w:p>
        </w:tc>
      </w:tr>
      <w:tr w:rsidR="00CE2DA2" w:rsidRPr="00317AA7" w14:paraId="342F187D" w14:textId="77777777">
        <w:tc>
          <w:tcPr>
            <w:tcW w:w="2400" w:type="dxa"/>
            <w:shd w:val="clear" w:color="auto" w:fill="F2F2F2"/>
            <w:tcMar>
              <w:top w:w="60" w:type="dxa"/>
              <w:left w:w="100" w:type="dxa"/>
              <w:bottom w:w="60" w:type="dxa"/>
              <w:right w:w="100" w:type="dxa"/>
            </w:tcMar>
          </w:tcPr>
          <w:p w14:paraId="6059342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593218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transportista notifica a Logística que la carga cambió de nave en un puerto intermedio.</w:t>
            </w:r>
          </w:p>
          <w:p w14:paraId="71D195C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accede al detalle del pedido.</w:t>
            </w:r>
          </w:p>
          <w:p w14:paraId="106C7C3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selecciona la acción de actualizar la nave asignada.</w:t>
            </w:r>
          </w:p>
          <w:p w14:paraId="2CE714CA"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nave vigente y solicita el nuevo identificador, el puerto de transbordo y la fecha de la notificación.</w:t>
            </w:r>
          </w:p>
          <w:p w14:paraId="381561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usuario introduce los datos y confirma.</w:t>
            </w:r>
          </w:p>
          <w:p w14:paraId="2738F72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cierra el tramo asociado a la nave anterior, conservando su historial de posiciones.</w:t>
            </w:r>
          </w:p>
          <w:p w14:paraId="4F6D8AC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asocia el pedido a la nueva nave y reanuda el rastreo automático contra ella.</w:t>
            </w:r>
          </w:p>
          <w:p w14:paraId="38729DD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8. El sistema registra la intervención en la bitácora de auditoría.</w:t>
            </w:r>
          </w:p>
          <w:p w14:paraId="201DD98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9. El sistema recalcula la ETA y el estado del pedido en cuanto obtiene la primera lectura de la nueva nave.</w:t>
            </w:r>
          </w:p>
        </w:tc>
      </w:tr>
      <w:tr w:rsidR="00CE2DA2" w:rsidRPr="00317AA7" w14:paraId="629F0309" w14:textId="77777777">
        <w:tc>
          <w:tcPr>
            <w:tcW w:w="2400" w:type="dxa"/>
            <w:shd w:val="clear" w:color="auto" w:fill="F2F2F2"/>
            <w:tcMar>
              <w:top w:w="60" w:type="dxa"/>
              <w:left w:w="100" w:type="dxa"/>
              <w:bottom w:w="60" w:type="dxa"/>
              <w:right w:w="100" w:type="dxa"/>
            </w:tcMar>
          </w:tcPr>
          <w:p w14:paraId="0DCB445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A095150"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El identificador introducido no corresponde a ninguna nave conocida por la fuente AIS: el sistema lo acepta pero advierte que el pedido permanecerá sin lectura hasta que la fuente reporte esa nave.</w:t>
            </w:r>
          </w:p>
          <w:p w14:paraId="62813B2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Varias líneas de orden de compra comparten la nave anterior: el sistema consulta si el transbordo las afecta a todas y permite aplicarlo en bloque.</w:t>
            </w:r>
          </w:p>
          <w:p w14:paraId="12C675B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No existen posiciones registradas para la nave anterior: el sistema omite el cierre de tramo y asocia directamente la nueva nave.</w:t>
            </w:r>
          </w:p>
        </w:tc>
      </w:tr>
      <w:tr w:rsidR="00CE2DA2" w:rsidRPr="00317AA7" w14:paraId="342AE1CF" w14:textId="77777777">
        <w:tc>
          <w:tcPr>
            <w:tcW w:w="2400" w:type="dxa"/>
            <w:shd w:val="clear" w:color="auto" w:fill="F2F2F2"/>
            <w:tcMar>
              <w:top w:w="60" w:type="dxa"/>
              <w:left w:w="100" w:type="dxa"/>
              <w:bottom w:w="60" w:type="dxa"/>
              <w:right w:w="100" w:type="dxa"/>
            </w:tcMar>
          </w:tcPr>
          <w:p w14:paraId="09445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F0C41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se rastrea contra la nave vigente, su trayecto histórico conserva ambos tramos y la intervención queda auditada.</w:t>
            </w:r>
          </w:p>
        </w:tc>
      </w:tr>
    </w:tbl>
    <w:p w14:paraId="6FFC4CBB"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Los flujos de CU-01 y CU-05 fueron recorridos con los usuarios de Compras y de Logística durante el levantamiento de requerimientos, y quedan reescritos en este documento conforme al proceso real de la empresa. CU-10 se incorpora a partir de ese mismo levantamiento.</w:t>
      </w:r>
    </w:p>
    <w:p w14:paraId="3D188883" w14:textId="77777777" w:rsidR="00CE2DA2" w:rsidRPr="00317AA7" w:rsidRDefault="00D91203">
      <w:pPr>
        <w:pStyle w:val="Ttulo1"/>
        <w:pageBreakBefore/>
        <w:rPr>
          <w:rFonts w:ascii="Times New Roman" w:hAnsi="Times New Roman" w:cs="Times New Roman"/>
          <w:color w:val="auto"/>
        </w:rPr>
      </w:pPr>
      <w:bookmarkStart w:id="33" w:name="_Toc237262857"/>
      <w:r>
        <w:rPr>
          <w:rFonts w:ascii="Times New Roman" w:hAnsi="Times New Roman" w:cs="Times New Roman"/>
          <w:color w:val="auto"/>
        </w:rPr>
        <w:lastRenderedPageBreak/>
        <w:t>7. Reglas de negocio</w:t>
      </w:r>
      <w:bookmarkEnd w:id="33"/>
    </w:p>
    <w:p w14:paraId="7139D6B0"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Las reglas de esta sección gobiernan el cálculo de la fecha proyectada de disponibilidad y la determinación del estado logístico. Proceden de la sección 6 del documento técnico-funcional y constituyen el núcleo de valor del sistema.</w:t>
      </w:r>
    </w:p>
    <w:p w14:paraId="52EE1A9E" w14:textId="77777777" w:rsidR="00CE2DA2" w:rsidRPr="00317AA7" w:rsidRDefault="00D91203">
      <w:pPr>
        <w:pStyle w:val="Ttulo2"/>
        <w:rPr>
          <w:rFonts w:ascii="Times New Roman" w:hAnsi="Times New Roman" w:cs="Times New Roman"/>
          <w:color w:val="auto"/>
        </w:rPr>
      </w:pPr>
      <w:bookmarkStart w:id="34" w:name="_Toc237262858"/>
      <w:r>
        <w:rPr>
          <w:rFonts w:ascii="Times New Roman" w:hAnsi="Times New Roman" w:cs="Times New Roman"/>
          <w:color w:val="auto"/>
        </w:rPr>
        <w:t>7.1 Regla de cálculo fundamental</w:t>
      </w:r>
      <w:bookmarkEnd w:id="34"/>
    </w:p>
    <w:p w14:paraId="138002D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RN-01: Fórmula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1D3DBBF" w14:textId="77777777">
        <w:tc>
          <w:tcPr>
            <w:tcW w:w="2400" w:type="dxa"/>
            <w:shd w:val="clear" w:color="auto" w:fill="F2F2F2"/>
            <w:tcMar>
              <w:top w:w="60" w:type="dxa"/>
              <w:left w:w="100" w:type="dxa"/>
              <w:bottom w:w="60" w:type="dxa"/>
              <w:right w:w="100" w:type="dxa"/>
            </w:tcMar>
          </w:tcPr>
          <w:p w14:paraId="30F95A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90938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fecha proyectada de disponibilidad de un pedido se calcula como la suma de la ETA o ATA del destino, más el lead time maestro del destino expresado en días, más un ajuste manual opcional. Cuando existe ATA confirmada, ésta tiene precedencia sobre la ETA estimada por la API.</w:t>
            </w:r>
          </w:p>
        </w:tc>
      </w:tr>
      <w:tr w:rsidR="00CE2DA2" w:rsidRPr="00317AA7" w14:paraId="30E502F9" w14:textId="77777777">
        <w:tc>
          <w:tcPr>
            <w:tcW w:w="2400" w:type="dxa"/>
            <w:shd w:val="clear" w:color="auto" w:fill="F2F2F2"/>
            <w:tcMar>
              <w:top w:w="60" w:type="dxa"/>
              <w:left w:w="100" w:type="dxa"/>
              <w:bottom w:w="60" w:type="dxa"/>
              <w:right w:w="100" w:type="dxa"/>
            </w:tcMar>
          </w:tcPr>
          <w:p w14:paraId="57A203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D75F2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fórmula clave.</w:t>
            </w:r>
          </w:p>
        </w:tc>
      </w:tr>
    </w:tbl>
    <w:p w14:paraId="6C2587BB"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lead time del destino comprende el desembarque, la nacionalización y el traslado hasta la planta o el almacén, de modo que la fecha proyectada de disponibilidad que produce RN-01 corresponde al ingreso del material a bodega. El levantamiento con Control de Calidad precisó que, una vez ingresado, el material recorre todavía un circuito interno de muestreo y análisis por Control de Calidad, liberación por Aseguramiento de la Calidad y asignación de órdenes por Planificación, con una duración promedio de quince días entre el ingreso y la liberación. Ese circuito queda fuera del cálculo de RN-01 y se documenta aquí como contexto: la fecha proyectada no debe interpretarse como fecha de disponibilidad para producción.</w:t>
      </w:r>
    </w:p>
    <w:p w14:paraId="5CAFE8A4" w14:textId="77777777" w:rsidR="00CE2DA2" w:rsidRPr="00317AA7" w:rsidRDefault="00D91203">
      <w:pPr>
        <w:pStyle w:val="Ttulo2"/>
        <w:rPr>
          <w:rFonts w:ascii="Times New Roman" w:hAnsi="Times New Roman" w:cs="Times New Roman"/>
          <w:color w:val="auto"/>
        </w:rPr>
      </w:pPr>
      <w:bookmarkStart w:id="35" w:name="_Toc237262859"/>
      <w:r>
        <w:rPr>
          <w:rFonts w:ascii="Times New Roman" w:hAnsi="Times New Roman" w:cs="Times New Roman"/>
          <w:color w:val="auto"/>
        </w:rPr>
        <w:t>7.2 Estados del ciclo de vida del pedido</w:t>
      </w:r>
      <w:bookmarkEnd w:id="35"/>
    </w:p>
    <w:p w14:paraId="637CC1C7"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estado de un pedido se determina en cada recálculo evaluando las reglas siguientes. Las reglas relativas a la etapa del viaje (RN-02 a RN-05) describen dónde se encuentra la carga; las relativas al cumplimiento (RN-07 a RN-09) describen si llegará a tiempo.</w:t>
      </w:r>
    </w:p>
    <w:p w14:paraId="4422E63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RN-02: Estado Sin tracking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36AD47F0" w14:textId="77777777">
        <w:tc>
          <w:tcPr>
            <w:tcW w:w="2400" w:type="dxa"/>
            <w:shd w:val="clear" w:color="auto" w:fill="F2F2F2"/>
            <w:tcMar>
              <w:top w:w="60" w:type="dxa"/>
              <w:left w:w="100" w:type="dxa"/>
              <w:bottom w:w="60" w:type="dxa"/>
              <w:right w:w="100" w:type="dxa"/>
            </w:tcMar>
          </w:tcPr>
          <w:p w14:paraId="09E63CD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0B910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activo que carece de identificador de nave, vuelo o contenedor asociado se clasifica como Sin tracking y se representa en color gris. No es rastreable automáticamente.</w:t>
            </w:r>
          </w:p>
        </w:tc>
      </w:tr>
      <w:tr w:rsidR="00CE2DA2" w:rsidRPr="00317AA7" w14:paraId="38C1887F" w14:textId="77777777">
        <w:tc>
          <w:tcPr>
            <w:tcW w:w="2400" w:type="dxa"/>
            <w:shd w:val="clear" w:color="auto" w:fill="F2F2F2"/>
            <w:tcMar>
              <w:top w:w="60" w:type="dxa"/>
              <w:left w:w="100" w:type="dxa"/>
              <w:bottom w:w="60" w:type="dxa"/>
              <w:right w:w="100" w:type="dxa"/>
            </w:tcMar>
          </w:tcPr>
          <w:p w14:paraId="30AD9C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F5E892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739E415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RN-03: Estado En origen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7D8D608" w14:textId="77777777">
        <w:tc>
          <w:tcPr>
            <w:tcW w:w="2400" w:type="dxa"/>
            <w:shd w:val="clear" w:color="auto" w:fill="F2F2F2"/>
            <w:tcMar>
              <w:top w:w="60" w:type="dxa"/>
              <w:left w:w="100" w:type="dxa"/>
              <w:bottom w:w="60" w:type="dxa"/>
              <w:right w:w="100" w:type="dxa"/>
            </w:tcMar>
          </w:tcPr>
          <w:p w14:paraId="193E3C5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39EA2D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con identificador de rastreo asociado que aún no registra salida real se clasifica como En origen y se representa en azul claro.</w:t>
            </w:r>
          </w:p>
        </w:tc>
      </w:tr>
      <w:tr w:rsidR="00CE2DA2" w:rsidRPr="00317AA7" w14:paraId="7596C722" w14:textId="77777777">
        <w:tc>
          <w:tcPr>
            <w:tcW w:w="2400" w:type="dxa"/>
            <w:shd w:val="clear" w:color="auto" w:fill="F2F2F2"/>
            <w:tcMar>
              <w:top w:w="60" w:type="dxa"/>
              <w:left w:w="100" w:type="dxa"/>
              <w:bottom w:w="60" w:type="dxa"/>
              <w:right w:w="100" w:type="dxa"/>
            </w:tcMar>
          </w:tcPr>
          <w:p w14:paraId="5497F4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64824B7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3462638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RN-04: Estado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E308743" w14:textId="77777777">
        <w:tc>
          <w:tcPr>
            <w:tcW w:w="2400" w:type="dxa"/>
            <w:shd w:val="clear" w:color="auto" w:fill="F2F2F2"/>
            <w:tcMar>
              <w:top w:w="60" w:type="dxa"/>
              <w:left w:w="100" w:type="dxa"/>
              <w:bottom w:w="60" w:type="dxa"/>
              <w:right w:w="100" w:type="dxa"/>
            </w:tcMar>
          </w:tcPr>
          <w:p w14:paraId="3D92105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7896D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con salida real registrada y posición actual activa se clasifica como En tránsito y se representa en azul.</w:t>
            </w:r>
          </w:p>
        </w:tc>
      </w:tr>
      <w:tr w:rsidR="00CE2DA2" w:rsidRPr="00317AA7" w14:paraId="637E6404" w14:textId="77777777">
        <w:tc>
          <w:tcPr>
            <w:tcW w:w="2400" w:type="dxa"/>
            <w:shd w:val="clear" w:color="auto" w:fill="F2F2F2"/>
            <w:tcMar>
              <w:top w:w="60" w:type="dxa"/>
              <w:left w:w="100" w:type="dxa"/>
              <w:bottom w:w="60" w:type="dxa"/>
              <w:right w:w="100" w:type="dxa"/>
            </w:tcMar>
          </w:tcPr>
          <w:p w14:paraId="06C207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CB33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02CFEA3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RN-05: Estado En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FA9CD8E" w14:textId="77777777">
        <w:tc>
          <w:tcPr>
            <w:tcW w:w="2400" w:type="dxa"/>
            <w:shd w:val="clear" w:color="auto" w:fill="F2F2F2"/>
            <w:tcMar>
              <w:top w:w="60" w:type="dxa"/>
              <w:left w:w="100" w:type="dxa"/>
              <w:bottom w:w="60" w:type="dxa"/>
              <w:right w:w="100" w:type="dxa"/>
            </w:tcMar>
          </w:tcPr>
          <w:p w14:paraId="7D58DD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53C26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fuente externa reporta la llegada al puerto o aeropuerto de destino se clasifica como En destino y se representa en morado.</w:t>
            </w:r>
          </w:p>
        </w:tc>
      </w:tr>
      <w:tr w:rsidR="00CE2DA2" w:rsidRPr="00317AA7" w14:paraId="124B64CD" w14:textId="77777777">
        <w:tc>
          <w:tcPr>
            <w:tcW w:w="2400" w:type="dxa"/>
            <w:shd w:val="clear" w:color="auto" w:fill="F2F2F2"/>
            <w:tcMar>
              <w:top w:w="60" w:type="dxa"/>
              <w:left w:w="100" w:type="dxa"/>
              <w:bottom w:w="60" w:type="dxa"/>
              <w:right w:w="100" w:type="dxa"/>
            </w:tcMar>
          </w:tcPr>
          <w:p w14:paraId="303FB22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16A350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7166B80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RN-06: Estado En proceso aduanal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ED49DDB" w14:textId="77777777">
        <w:tc>
          <w:tcPr>
            <w:tcW w:w="2400" w:type="dxa"/>
            <w:shd w:val="clear" w:color="auto" w:fill="F2F2F2"/>
            <w:tcMar>
              <w:top w:w="60" w:type="dxa"/>
              <w:left w:w="100" w:type="dxa"/>
              <w:bottom w:w="60" w:type="dxa"/>
              <w:right w:w="100" w:type="dxa"/>
            </w:tcMar>
          </w:tcPr>
          <w:p w14:paraId="0CADECA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75CD14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carga ha llegado al destino pero para el cual aún corre el lead time de tratamiento se clasifica como En proceso aduanal y se representa en amarillo.</w:t>
            </w:r>
          </w:p>
        </w:tc>
      </w:tr>
      <w:tr w:rsidR="00CE2DA2" w:rsidRPr="00317AA7" w14:paraId="2178A69B" w14:textId="77777777">
        <w:tc>
          <w:tcPr>
            <w:tcW w:w="2400" w:type="dxa"/>
            <w:shd w:val="clear" w:color="auto" w:fill="F2F2F2"/>
            <w:tcMar>
              <w:top w:w="60" w:type="dxa"/>
              <w:left w:w="100" w:type="dxa"/>
              <w:bottom w:w="60" w:type="dxa"/>
              <w:right w:w="100" w:type="dxa"/>
            </w:tcMar>
          </w:tcPr>
          <w:p w14:paraId="0DB89B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E4468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2C9C4F9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RN-07: Estado A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D4D240E" w14:textId="77777777">
        <w:tc>
          <w:tcPr>
            <w:tcW w:w="2400" w:type="dxa"/>
            <w:shd w:val="clear" w:color="auto" w:fill="F2F2F2"/>
            <w:tcMar>
              <w:top w:w="60" w:type="dxa"/>
              <w:left w:w="100" w:type="dxa"/>
              <w:bottom w:w="60" w:type="dxa"/>
              <w:right w:w="100" w:type="dxa"/>
            </w:tcMar>
          </w:tcPr>
          <w:p w14:paraId="03A53D8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53715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es anterior o igual a la fecha de entrega comprometida se clasifica como A tiempo y se representa en verde.</w:t>
            </w:r>
          </w:p>
        </w:tc>
      </w:tr>
      <w:tr w:rsidR="00CE2DA2" w:rsidRPr="00317AA7" w14:paraId="207B57CE" w14:textId="77777777">
        <w:tc>
          <w:tcPr>
            <w:tcW w:w="2400" w:type="dxa"/>
            <w:shd w:val="clear" w:color="auto" w:fill="F2F2F2"/>
            <w:tcMar>
              <w:top w:w="60" w:type="dxa"/>
              <w:left w:w="100" w:type="dxa"/>
              <w:bottom w:w="60" w:type="dxa"/>
              <w:right w:w="100" w:type="dxa"/>
            </w:tcMar>
          </w:tcPr>
          <w:p w14:paraId="736D163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3AF9E96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36E42F5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RN-08: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E0513A4" w14:textId="77777777">
        <w:tc>
          <w:tcPr>
            <w:tcW w:w="2400" w:type="dxa"/>
            <w:shd w:val="clear" w:color="auto" w:fill="F2F2F2"/>
            <w:tcMar>
              <w:top w:w="60" w:type="dxa"/>
              <w:left w:w="100" w:type="dxa"/>
              <w:bottom w:w="60" w:type="dxa"/>
              <w:right w:w="100" w:type="dxa"/>
            </w:tcMar>
          </w:tcPr>
          <w:p w14:paraId="6AF8C43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48D5B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se sitúa dentro del umbral crítico definido respecto a la fecha de entrega comprometida se clasifica como En riesgo y se representa en naranja. El documento técnico-funcional propone 48 horas como valor de referencia.</w:t>
            </w:r>
          </w:p>
        </w:tc>
      </w:tr>
      <w:tr w:rsidR="00CE2DA2" w:rsidRPr="00317AA7" w14:paraId="32ACB93B" w14:textId="77777777">
        <w:tc>
          <w:tcPr>
            <w:tcW w:w="2400" w:type="dxa"/>
            <w:shd w:val="clear" w:color="auto" w:fill="F2F2F2"/>
            <w:tcMar>
              <w:top w:w="60" w:type="dxa"/>
              <w:left w:w="100" w:type="dxa"/>
              <w:bottom w:w="60" w:type="dxa"/>
              <w:right w:w="100" w:type="dxa"/>
            </w:tcMar>
          </w:tcPr>
          <w:p w14:paraId="43CF33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F09B6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274AD1E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RN-09: Estado Retrasado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312733E4" w14:textId="77777777">
        <w:tc>
          <w:tcPr>
            <w:tcW w:w="2400" w:type="dxa"/>
            <w:shd w:val="clear" w:color="auto" w:fill="F2F2F2"/>
            <w:tcMar>
              <w:top w:w="60" w:type="dxa"/>
              <w:left w:w="100" w:type="dxa"/>
              <w:bottom w:w="60" w:type="dxa"/>
              <w:right w:w="100" w:type="dxa"/>
            </w:tcMar>
          </w:tcPr>
          <w:p w14:paraId="7C63004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D0E85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es posterior a la fecha de entrega comprometida se clasifica como Retrasado y se representa en rojo.</w:t>
            </w:r>
          </w:p>
        </w:tc>
      </w:tr>
      <w:tr w:rsidR="00CE2DA2" w:rsidRPr="00317AA7" w14:paraId="7320F529" w14:textId="77777777">
        <w:tc>
          <w:tcPr>
            <w:tcW w:w="2400" w:type="dxa"/>
            <w:shd w:val="clear" w:color="auto" w:fill="F2F2F2"/>
            <w:tcMar>
              <w:top w:w="60" w:type="dxa"/>
              <w:left w:w="100" w:type="dxa"/>
              <w:bottom w:w="60" w:type="dxa"/>
              <w:right w:w="100" w:type="dxa"/>
            </w:tcMar>
          </w:tcPr>
          <w:p w14:paraId="47FE836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A04BF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526A17A3"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RN-10: Estado Cerrado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2A2DEBC" w14:textId="77777777">
        <w:tc>
          <w:tcPr>
            <w:tcW w:w="2400" w:type="dxa"/>
            <w:shd w:val="clear" w:color="auto" w:fill="F2F2F2"/>
            <w:tcMar>
              <w:top w:w="60" w:type="dxa"/>
              <w:left w:w="100" w:type="dxa"/>
              <w:bottom w:w="60" w:type="dxa"/>
              <w:right w:w="100" w:type="dxa"/>
            </w:tcMar>
          </w:tcPr>
          <w:p w14:paraId="4B1997D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FE3D6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se clasifica como Cerrado cuando su mercancía ha sido recibida en planta o almacén en una cantidad que satisface la cantidad pedida dentro de un margen de tolerancia del diez por ciento. Es un estado terminal: el pedido deja de consultarse contra las APIs externas y se archiva. Una recepción por debajo de ese margen no cierra el pedido; obliga a forzar el cierre o a modificar la orden, decisión que corresponde al comprador y que se ejecuta en SAP.</w:t>
            </w:r>
          </w:p>
        </w:tc>
      </w:tr>
      <w:tr w:rsidR="00CE2DA2" w:rsidRPr="00317AA7" w14:paraId="7449B8B0" w14:textId="77777777">
        <w:tc>
          <w:tcPr>
            <w:tcW w:w="2400" w:type="dxa"/>
            <w:shd w:val="clear" w:color="auto" w:fill="F2F2F2"/>
            <w:tcMar>
              <w:top w:w="60" w:type="dxa"/>
              <w:left w:w="100" w:type="dxa"/>
              <w:bottom w:w="60" w:type="dxa"/>
              <w:right w:w="100" w:type="dxa"/>
            </w:tcMar>
          </w:tcPr>
          <w:p w14:paraId="4D47BA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Origen</w:t>
            </w:r>
          </w:p>
        </w:tc>
        <w:tc>
          <w:tcPr>
            <w:tcW w:w="6960" w:type="dxa"/>
            <w:tcMar>
              <w:top w:w="60" w:type="dxa"/>
              <w:left w:w="100" w:type="dxa"/>
              <w:bottom w:w="60" w:type="dxa"/>
              <w:right w:w="100" w:type="dxa"/>
            </w:tcMar>
          </w:tcPr>
          <w:p w14:paraId="53C2D3F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Margen de tolerancia confirmado en el levantamiento de requerimientos con el área de Logística.</w:t>
            </w:r>
          </w:p>
        </w:tc>
      </w:tr>
    </w:tbl>
    <w:p w14:paraId="76D5005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RN-15: Estado Cancelado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D16059F" w14:textId="77777777">
        <w:tc>
          <w:tcPr>
            <w:tcW w:w="2400" w:type="dxa"/>
            <w:shd w:val="clear" w:color="auto" w:fill="F2F2F2"/>
            <w:tcMar>
              <w:top w:w="60" w:type="dxa"/>
              <w:left w:w="100" w:type="dxa"/>
              <w:bottom w:w="60" w:type="dxa"/>
              <w:right w:w="100" w:type="dxa"/>
            </w:tcMar>
          </w:tcPr>
          <w:p w14:paraId="647B5A6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B4910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orden de compra se anula antes de la recepción se clasifica como Cancelado y se representa en gris oscuro. La cancelación procede cuando la operación aún puede revertirse, el proveedor acepta anularla y el comprador cierra la orden en SAP. Es un estado terminal con los mismos efectos que Cerrado: cesan las consultas a las APIs externas y el pedido se archiva.</w:t>
            </w:r>
          </w:p>
        </w:tc>
      </w:tr>
      <w:tr w:rsidR="00CE2DA2" w:rsidRPr="00317AA7" w14:paraId="292BCFFF" w14:textId="77777777">
        <w:tc>
          <w:tcPr>
            <w:tcW w:w="2400" w:type="dxa"/>
            <w:shd w:val="clear" w:color="auto" w:fill="F2F2F2"/>
            <w:tcMar>
              <w:top w:w="60" w:type="dxa"/>
              <w:left w:w="100" w:type="dxa"/>
              <w:bottom w:w="60" w:type="dxa"/>
              <w:right w:w="100" w:type="dxa"/>
            </w:tcMar>
          </w:tcPr>
          <w:p w14:paraId="00E2A8D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1274E2C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área de Logística.</w:t>
            </w:r>
          </w:p>
        </w:tc>
      </w:tr>
    </w:tbl>
    <w:p w14:paraId="4B3F269B" w14:textId="77777777" w:rsidR="00CE2DA2" w:rsidRPr="00317AA7" w:rsidRDefault="00D91203">
      <w:pPr>
        <w:pStyle w:val="Ttulo2"/>
        <w:rPr>
          <w:rFonts w:ascii="Times New Roman" w:hAnsi="Times New Roman" w:cs="Times New Roman"/>
          <w:color w:val="auto"/>
        </w:rPr>
      </w:pPr>
      <w:bookmarkStart w:id="36" w:name="_Toc237262860"/>
      <w:r>
        <w:rPr>
          <w:rFonts w:ascii="Times New Roman" w:hAnsi="Times New Roman" w:cs="Times New Roman"/>
          <w:color w:val="auto"/>
        </w:rPr>
        <w:t>7.3 Reglas complementarias</w:t>
      </w:r>
      <w:bookmarkEnd w:id="36"/>
    </w:p>
    <w:p w14:paraId="50B8ED1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RN-11: Umbral del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94F13F2" w14:textId="77777777">
        <w:tc>
          <w:tcPr>
            <w:tcW w:w="2400" w:type="dxa"/>
            <w:shd w:val="clear" w:color="auto" w:fill="F2F2F2"/>
            <w:tcMar>
              <w:top w:w="60" w:type="dxa"/>
              <w:left w:w="100" w:type="dxa"/>
              <w:bottom w:w="60" w:type="dxa"/>
              <w:right w:w="100" w:type="dxa"/>
            </w:tcMar>
          </w:tcPr>
          <w:p w14:paraId="616C4A9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2768E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umbral que separa el estado A tiempo del estado En riesgo se fija en 48 horas. El valor es único para las vías aérea y marítima y debe residir en la tabla de mantenimiento de parámetros del sistema, de modo que pueda ajustarse sin modificar el código fuente.</w:t>
            </w:r>
          </w:p>
        </w:tc>
      </w:tr>
      <w:tr w:rsidR="00CE2DA2" w:rsidRPr="00317AA7" w14:paraId="3D339482" w14:textId="77777777">
        <w:tc>
          <w:tcPr>
            <w:tcW w:w="2400" w:type="dxa"/>
            <w:shd w:val="clear" w:color="auto" w:fill="F2F2F2"/>
            <w:tcMar>
              <w:top w:w="60" w:type="dxa"/>
              <w:left w:w="100" w:type="dxa"/>
              <w:bottom w:w="60" w:type="dxa"/>
              <w:right w:w="100" w:type="dxa"/>
            </w:tcMar>
          </w:tcPr>
          <w:p w14:paraId="19BD0D9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4BF62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secciones 6 y 13. Valor confirmado con el supervisor de empresa durante el levantamiento de requerimientos.</w:t>
            </w:r>
          </w:p>
        </w:tc>
      </w:tr>
    </w:tbl>
    <w:p w14:paraId="7ED5134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RN-12: Lead time único por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2FDC131" w14:textId="77777777">
        <w:tc>
          <w:tcPr>
            <w:tcW w:w="2400" w:type="dxa"/>
            <w:shd w:val="clear" w:color="auto" w:fill="F2F2F2"/>
            <w:tcMar>
              <w:top w:w="60" w:type="dxa"/>
              <w:left w:w="100" w:type="dxa"/>
              <w:bottom w:w="60" w:type="dxa"/>
              <w:right w:w="100" w:type="dxa"/>
            </w:tcMar>
          </w:tcPr>
          <w:p w14:paraId="4F521CC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C27EE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Cada destino tiene un único lead time, expresado en días, aplicable en toda condición. El lead time crítico que contemplaba el documento técnico-funcional queda eliminado: el supervisor de empresa lo identificó como un error de redacción durante el levantamiento. Ni el maestro de destinos ni el cálculo de la fecha proyectada distinguen entre condiciones normales y excepcionales.</w:t>
            </w:r>
          </w:p>
        </w:tc>
      </w:tr>
      <w:tr w:rsidR="00CE2DA2" w:rsidRPr="00317AA7" w14:paraId="46385662" w14:textId="77777777">
        <w:tc>
          <w:tcPr>
            <w:tcW w:w="2400" w:type="dxa"/>
            <w:shd w:val="clear" w:color="auto" w:fill="F2F2F2"/>
            <w:tcMar>
              <w:top w:w="60" w:type="dxa"/>
              <w:left w:w="100" w:type="dxa"/>
              <w:bottom w:w="60" w:type="dxa"/>
              <w:right w:w="100" w:type="dxa"/>
            </w:tcMar>
          </w:tcPr>
          <w:p w14:paraId="1BE93F0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E24D6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supervisor de empresa. Corrige la sección 7.2 del documento técnico-funcional [2].</w:t>
            </w:r>
          </w:p>
        </w:tc>
      </w:tr>
    </w:tbl>
    <w:p w14:paraId="7A56BAA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RN-13: Estados terminales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FDBB613" w14:textId="77777777">
        <w:tc>
          <w:tcPr>
            <w:tcW w:w="2400" w:type="dxa"/>
            <w:shd w:val="clear" w:color="auto" w:fill="F2F2F2"/>
            <w:tcMar>
              <w:top w:w="60" w:type="dxa"/>
              <w:left w:w="100" w:type="dxa"/>
              <w:bottom w:w="60" w:type="dxa"/>
              <w:right w:w="100" w:type="dxa"/>
            </w:tcMar>
          </w:tcPr>
          <w:p w14:paraId="6C4281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E7BD65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consideran terminales los estados en los que el pedido deja de ser objeto de seguimiento activo. Existen dos: Cerrado (RN-10), por recepción de la mercancía dentro del margen de tolerancia, y Cancelado (RN-15), por anulación de la orden de compra. El rechazo de la mercancía por parte de Control de Calidad no constituye un estado terminal adicional: el análisis se practica entre ocho y quince días después del ingreso y, en caso de rechazo, la orden permanece cerrada y la devolución se tramita mediante una orden de salida ajena al alcance de TrackIn.</w:t>
            </w:r>
          </w:p>
        </w:tc>
      </w:tr>
      <w:tr w:rsidR="00CE2DA2" w:rsidRPr="00317AA7" w14:paraId="1D23DF2F" w14:textId="77777777">
        <w:tc>
          <w:tcPr>
            <w:tcW w:w="2400" w:type="dxa"/>
            <w:shd w:val="clear" w:color="auto" w:fill="F2F2F2"/>
            <w:tcMar>
              <w:top w:w="60" w:type="dxa"/>
              <w:left w:w="100" w:type="dxa"/>
              <w:bottom w:w="60" w:type="dxa"/>
              <w:right w:w="100" w:type="dxa"/>
            </w:tcMar>
          </w:tcPr>
          <w:p w14:paraId="2AE5069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2F3B9DD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las áreas de Logística y Control de Calidad.</w:t>
            </w:r>
          </w:p>
        </w:tc>
      </w:tr>
    </w:tbl>
    <w:p w14:paraId="0435D4E3"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RN-14: Precedencia del dato manual sobre el automático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08FFFAB" w14:textId="77777777">
        <w:tc>
          <w:tcPr>
            <w:tcW w:w="2400" w:type="dxa"/>
            <w:shd w:val="clear" w:color="auto" w:fill="F2F2F2"/>
            <w:tcMar>
              <w:top w:w="60" w:type="dxa"/>
              <w:left w:w="100" w:type="dxa"/>
              <w:bottom w:w="60" w:type="dxa"/>
              <w:right w:w="100" w:type="dxa"/>
            </w:tcMar>
          </w:tcPr>
          <w:p w14:paraId="2034AE8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01855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Cuando existe una confirmación manual de desembarco registrada por el usuario de Logística, ésta prevalece sobre el dato reportado por la API externa para el cálculo de la fecha proyectada.</w:t>
            </w:r>
          </w:p>
        </w:tc>
      </w:tr>
      <w:tr w:rsidR="00CE2DA2" w:rsidRPr="00317AA7" w14:paraId="378026DE" w14:textId="77777777">
        <w:tc>
          <w:tcPr>
            <w:tcW w:w="2400" w:type="dxa"/>
            <w:shd w:val="clear" w:color="auto" w:fill="F2F2F2"/>
            <w:tcMar>
              <w:top w:w="60" w:type="dxa"/>
              <w:left w:w="100" w:type="dxa"/>
              <w:bottom w:w="60" w:type="dxa"/>
              <w:right w:w="100" w:type="dxa"/>
            </w:tcMar>
          </w:tcPr>
          <w:p w14:paraId="0F501B0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F291E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 la sección 12 del documento técnico-funcional [2], riesgo de cambios manuales sin auditoría.</w:t>
            </w:r>
          </w:p>
        </w:tc>
      </w:tr>
    </w:tbl>
    <w:p w14:paraId="4A5FD722"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umbral de 48 horas del estado En riesgo (RN-11) y la eliminación del lead time crítico (RN-12) quedaron confirmados con el supervisor de empresa durante el levantamiento de requerimientos, por lo que no requieren validación adicional antes de su implementación en el Sprint 3.</w:t>
      </w:r>
    </w:p>
    <w:p w14:paraId="59CD0DF0" w14:textId="77777777" w:rsidR="00CE2DA2" w:rsidRPr="00317AA7" w:rsidRDefault="00D91203">
      <w:pPr>
        <w:pStyle w:val="Ttulo1"/>
        <w:pageBreakBefore/>
        <w:rPr>
          <w:rFonts w:ascii="Times New Roman" w:hAnsi="Times New Roman" w:cs="Times New Roman"/>
          <w:color w:val="auto"/>
        </w:rPr>
      </w:pPr>
      <w:bookmarkStart w:id="37" w:name="_Toc237262861"/>
      <w:r>
        <w:rPr>
          <w:rFonts w:ascii="Times New Roman" w:hAnsi="Times New Roman" w:cs="Times New Roman"/>
          <w:color w:val="auto"/>
        </w:rPr>
        <w:lastRenderedPageBreak/>
        <w:t>8. Modelo de datos preliminar</w:t>
      </w:r>
      <w:bookmarkEnd w:id="37"/>
    </w:p>
    <w:p w14:paraId="71CC883E" w14:textId="77777777" w:rsidR="009349E4"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Esta sección presenta el modelo de datos tentativo derivado de la sección 7 del documento técnico-funcional. El modelo definitivo, con su diagrama entidad-relación y su diccionario de datos completo, constituye un entregable independiente del Sprint 2 y se documentará en el archivo correspondiente del repositorio.</w:t>
      </w:r>
    </w:p>
    <w:p w14:paraId="55E03841" w14:textId="1024E0B0"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Se identifican siete entidades. Las tres primeras proceden directamente del documento técnico-funcional; las cuatro restantes se incorporan para normalizar datos hoy embebidos como texto libre, para soportar el seguimiento de la nave con independencia del pedido y para dar soporte a la auditoría de intervenciones manuales.</w:t>
      </w:r>
    </w:p>
    <w:p w14:paraId="15DAE796" w14:textId="77777777" w:rsidR="00CE2DA2" w:rsidRPr="00317AA7" w:rsidRDefault="00D91203">
      <w:pPr>
        <w:pStyle w:val="Ttulo2"/>
        <w:rPr>
          <w:rFonts w:ascii="Times New Roman" w:hAnsi="Times New Roman" w:cs="Times New Roman"/>
          <w:color w:val="auto"/>
        </w:rPr>
      </w:pPr>
      <w:bookmarkStart w:id="38" w:name="_Toc237262862"/>
      <w:r>
        <w:rPr>
          <w:rFonts w:ascii="Times New Roman" w:hAnsi="Times New Roman" w:cs="Times New Roman"/>
          <w:color w:val="auto"/>
        </w:rPr>
        <w:t>8.1 Entidades identificadas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600"/>
        <w:gridCol w:w="2660"/>
      </w:tblGrid>
      <w:tr w:rsidR="00CE2DA2" w:rsidRPr="00317AA7" w14:paraId="5EF122A8" w14:textId="77777777">
        <w:trPr>
          <w:tblHeader/>
        </w:trPr>
        <w:tc>
          <w:tcPr>
            <w:tcW w:w="2100" w:type="dxa"/>
            <w:shd w:val="clear" w:color="auto" w:fill="D9E2F3"/>
            <w:tcMar>
              <w:top w:w="60" w:type="dxa"/>
              <w:left w:w="100" w:type="dxa"/>
              <w:bottom w:w="60" w:type="dxa"/>
              <w:right w:w="100" w:type="dxa"/>
            </w:tcMar>
          </w:tcPr>
          <w:p w14:paraId="09F3346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Entidad</w:t>
            </w:r>
          </w:p>
        </w:tc>
        <w:tc>
          <w:tcPr>
            <w:tcW w:w="4600" w:type="dxa"/>
            <w:shd w:val="clear" w:color="auto" w:fill="D9E2F3"/>
            <w:tcMar>
              <w:top w:w="60" w:type="dxa"/>
              <w:left w:w="100" w:type="dxa"/>
              <w:bottom w:w="60" w:type="dxa"/>
              <w:right w:w="100" w:type="dxa"/>
            </w:tcMar>
          </w:tcPr>
          <w:p w14:paraId="522DC46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Propósito</w:t>
            </w:r>
          </w:p>
        </w:tc>
        <w:tc>
          <w:tcPr>
            <w:tcW w:w="2660" w:type="dxa"/>
            <w:shd w:val="clear" w:color="auto" w:fill="D9E2F3"/>
            <w:tcMar>
              <w:top w:w="60" w:type="dxa"/>
              <w:left w:w="100" w:type="dxa"/>
              <w:bottom w:w="60" w:type="dxa"/>
              <w:right w:w="100" w:type="dxa"/>
            </w:tcMar>
          </w:tcPr>
          <w:p w14:paraId="40D5A39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r>
      <w:tr w:rsidR="00CE2DA2" w:rsidRPr="00317AA7" w14:paraId="33FEFB9B" w14:textId="77777777">
        <w:tc>
          <w:tcPr>
            <w:tcW w:w="2100" w:type="dxa"/>
            <w:tcMar>
              <w:top w:w="60" w:type="dxa"/>
              <w:left w:w="100" w:type="dxa"/>
              <w:bottom w:w="60" w:type="dxa"/>
              <w:right w:w="100" w:type="dxa"/>
            </w:tcMar>
          </w:tcPr>
          <w:p w14:paraId="63CB62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pedidos_transito</w:t>
            </w:r>
          </w:p>
        </w:tc>
        <w:tc>
          <w:tcPr>
            <w:tcW w:w="4600" w:type="dxa"/>
            <w:tcMar>
              <w:top w:w="60" w:type="dxa"/>
              <w:left w:w="100" w:type="dxa"/>
              <w:bottom w:w="60" w:type="dxa"/>
              <w:right w:w="100" w:type="dxa"/>
            </w:tcMar>
          </w:tcPr>
          <w:p w14:paraId="0C83DA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Registro central de cada línea de orden de compra en tránsito, con sus datos maestros, su identificador de rastreo, su última posición conocida y su estado calculado.</w:t>
            </w:r>
          </w:p>
        </w:tc>
        <w:tc>
          <w:tcPr>
            <w:tcW w:w="2660" w:type="dxa"/>
            <w:tcMar>
              <w:top w:w="60" w:type="dxa"/>
              <w:left w:w="100" w:type="dxa"/>
              <w:bottom w:w="60" w:type="dxa"/>
              <w:right w:w="100" w:type="dxa"/>
            </w:tcMar>
          </w:tcPr>
          <w:p w14:paraId="395CB0F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7.1</w:t>
            </w:r>
          </w:p>
        </w:tc>
      </w:tr>
      <w:tr w:rsidR="00CE2DA2" w:rsidRPr="00317AA7" w14:paraId="3A1E1951" w14:textId="77777777">
        <w:tc>
          <w:tcPr>
            <w:tcW w:w="2100" w:type="dxa"/>
            <w:tcMar>
              <w:top w:w="60" w:type="dxa"/>
              <w:left w:w="100" w:type="dxa"/>
              <w:bottom w:w="60" w:type="dxa"/>
              <w:right w:w="100" w:type="dxa"/>
            </w:tcMar>
          </w:tcPr>
          <w:p w14:paraId="5807426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maestro_destinos</w:t>
            </w:r>
          </w:p>
        </w:tc>
        <w:tc>
          <w:tcPr>
            <w:tcW w:w="4600" w:type="dxa"/>
            <w:tcMar>
              <w:top w:w="60" w:type="dxa"/>
              <w:left w:w="100" w:type="dxa"/>
              <w:bottom w:w="60" w:type="dxa"/>
              <w:right w:w="100" w:type="dxa"/>
            </w:tcMar>
          </w:tcPr>
          <w:p w14:paraId="298B1B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Catálogo de puertos y aeropuertos con su lead time en días, que alimenta el cálculo de la fecha proyectada de disponibilidad.</w:t>
            </w:r>
          </w:p>
        </w:tc>
        <w:tc>
          <w:tcPr>
            <w:tcW w:w="2660" w:type="dxa"/>
            <w:tcMar>
              <w:top w:w="60" w:type="dxa"/>
              <w:left w:w="100" w:type="dxa"/>
              <w:bottom w:w="60" w:type="dxa"/>
              <w:right w:w="100" w:type="dxa"/>
            </w:tcMar>
          </w:tcPr>
          <w:p w14:paraId="58B530C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7.2, corregido por RN-12</w:t>
            </w:r>
          </w:p>
        </w:tc>
      </w:tr>
      <w:tr w:rsidR="00CE2DA2" w:rsidRPr="00317AA7" w14:paraId="0AA4A84C" w14:textId="77777777">
        <w:tc>
          <w:tcPr>
            <w:tcW w:w="2100" w:type="dxa"/>
            <w:tcMar>
              <w:top w:w="60" w:type="dxa"/>
              <w:left w:w="100" w:type="dxa"/>
              <w:bottom w:w="60" w:type="dxa"/>
              <w:right w:w="100" w:type="dxa"/>
            </w:tcMar>
          </w:tcPr>
          <w:p w14:paraId="2FBE01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historial_tracking</w:t>
            </w:r>
          </w:p>
        </w:tc>
        <w:tc>
          <w:tcPr>
            <w:tcW w:w="4600" w:type="dxa"/>
            <w:tcMar>
              <w:top w:w="60" w:type="dxa"/>
              <w:left w:w="100" w:type="dxa"/>
              <w:bottom w:w="60" w:type="dxa"/>
              <w:right w:w="100" w:type="dxa"/>
            </w:tcMar>
          </w:tcPr>
          <w:p w14:paraId="273A6A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Secuencia inmutable de posiciones registradas por elemento rastreado, con el payload completo de la respuesta de la API para auditoría.</w:t>
            </w:r>
          </w:p>
        </w:tc>
        <w:tc>
          <w:tcPr>
            <w:tcW w:w="2660" w:type="dxa"/>
            <w:tcMar>
              <w:top w:w="60" w:type="dxa"/>
              <w:left w:w="100" w:type="dxa"/>
              <w:bottom w:w="60" w:type="dxa"/>
              <w:right w:w="100" w:type="dxa"/>
            </w:tcMar>
          </w:tcPr>
          <w:p w14:paraId="0705F5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7.3</w:t>
            </w:r>
          </w:p>
        </w:tc>
      </w:tr>
      <w:tr w:rsidR="00CE2DA2" w:rsidRPr="00317AA7" w14:paraId="7330366D" w14:textId="77777777">
        <w:tc>
          <w:tcPr>
            <w:tcW w:w="2100" w:type="dxa"/>
            <w:tcMar>
              <w:top w:w="60" w:type="dxa"/>
              <w:left w:w="100" w:type="dxa"/>
              <w:bottom w:w="60" w:type="dxa"/>
              <w:right w:w="100" w:type="dxa"/>
            </w:tcMar>
          </w:tcPr>
          <w:p w14:paraId="10D72C5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elementos_rastreados</w:t>
            </w:r>
          </w:p>
        </w:tc>
        <w:tc>
          <w:tcPr>
            <w:tcW w:w="4600" w:type="dxa"/>
            <w:tcMar>
              <w:top w:w="60" w:type="dxa"/>
              <w:left w:w="100" w:type="dxa"/>
              <w:bottom w:w="60" w:type="dxa"/>
              <w:right w:w="100" w:type="dxa"/>
            </w:tcMar>
          </w:tcPr>
          <w:p w14:paraId="29CDA8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Nave o vuelo objeto de seguimiento. Se introduce porque varias líneas de orden de compra pueden viajar en un mismo buque y porque una misma línea puede cambiar de nave por transbordo. Desacopla el identificador externo, la ETA y la última posición del pedido individual.</w:t>
            </w:r>
          </w:p>
        </w:tc>
        <w:tc>
          <w:tcPr>
            <w:tcW w:w="2660" w:type="dxa"/>
            <w:tcMar>
              <w:top w:w="60" w:type="dxa"/>
              <w:left w:w="100" w:type="dxa"/>
              <w:bottom w:w="60" w:type="dxa"/>
              <w:right w:w="100" w:type="dxa"/>
            </w:tcMar>
          </w:tcPr>
          <w:p w14:paraId="51D4FE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supervisor de empresa y con Logística</w:t>
            </w:r>
          </w:p>
        </w:tc>
      </w:tr>
      <w:tr w:rsidR="00CE2DA2" w:rsidRPr="00317AA7" w14:paraId="02154CAD" w14:textId="77777777">
        <w:tc>
          <w:tcPr>
            <w:tcW w:w="2100" w:type="dxa"/>
            <w:tcMar>
              <w:top w:w="60" w:type="dxa"/>
              <w:left w:w="100" w:type="dxa"/>
              <w:bottom w:w="60" w:type="dxa"/>
              <w:right w:w="100" w:type="dxa"/>
            </w:tcMar>
          </w:tcPr>
          <w:p w14:paraId="69D9155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proveedores</w:t>
            </w:r>
          </w:p>
        </w:tc>
        <w:tc>
          <w:tcPr>
            <w:tcW w:w="4600" w:type="dxa"/>
            <w:tcMar>
              <w:top w:w="60" w:type="dxa"/>
              <w:left w:w="100" w:type="dxa"/>
              <w:bottom w:w="60" w:type="dxa"/>
              <w:right w:w="100" w:type="dxa"/>
            </w:tcMar>
          </w:tcPr>
          <w:p w14:paraId="4814B17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Normalización del proveedor, hoy almacenado como texto libre en el pedido. Habilita el análisis de desempeño por proveedor.</w:t>
            </w:r>
          </w:p>
        </w:tc>
        <w:tc>
          <w:tcPr>
            <w:tcW w:w="2660" w:type="dxa"/>
            <w:tcMar>
              <w:top w:w="60" w:type="dxa"/>
              <w:left w:w="100" w:type="dxa"/>
              <w:bottom w:w="60" w:type="dxa"/>
              <w:right w:w="100" w:type="dxa"/>
            </w:tcMar>
          </w:tcPr>
          <w:p w14:paraId="5CE96D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anteproyecto, sección 4</w:t>
            </w:r>
          </w:p>
        </w:tc>
      </w:tr>
      <w:tr w:rsidR="00CE2DA2" w:rsidRPr="00317AA7" w14:paraId="7FD3D07D" w14:textId="77777777">
        <w:tc>
          <w:tcPr>
            <w:tcW w:w="2100" w:type="dxa"/>
            <w:tcMar>
              <w:top w:w="60" w:type="dxa"/>
              <w:left w:w="100" w:type="dxa"/>
              <w:bottom w:w="60" w:type="dxa"/>
              <w:right w:w="100" w:type="dxa"/>
            </w:tcMar>
          </w:tcPr>
          <w:p w14:paraId="062B2B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materiales</w:t>
            </w:r>
          </w:p>
        </w:tc>
        <w:tc>
          <w:tcPr>
            <w:tcW w:w="4600" w:type="dxa"/>
            <w:tcMar>
              <w:top w:w="60" w:type="dxa"/>
              <w:left w:w="100" w:type="dxa"/>
              <w:bottom w:w="60" w:type="dxa"/>
              <w:right w:w="100" w:type="dxa"/>
            </w:tcMar>
          </w:tcPr>
          <w:p w14:paraId="4137EA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Normalización del material, hoy almacenado como código y descripción concatenados. Habilita el filtrado y la agregación por material.</w:t>
            </w:r>
          </w:p>
        </w:tc>
        <w:tc>
          <w:tcPr>
            <w:tcW w:w="2660" w:type="dxa"/>
            <w:tcMar>
              <w:top w:w="60" w:type="dxa"/>
              <w:left w:w="100" w:type="dxa"/>
              <w:bottom w:w="60" w:type="dxa"/>
              <w:right w:w="100" w:type="dxa"/>
            </w:tcMar>
          </w:tcPr>
          <w:p w14:paraId="192D74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documento técnico-funcional</w:t>
            </w:r>
          </w:p>
        </w:tc>
      </w:tr>
      <w:tr w:rsidR="00CE2DA2" w:rsidRPr="00317AA7" w14:paraId="171DCB4F" w14:textId="77777777">
        <w:tc>
          <w:tcPr>
            <w:tcW w:w="2100" w:type="dxa"/>
            <w:tcMar>
              <w:top w:w="60" w:type="dxa"/>
              <w:left w:w="100" w:type="dxa"/>
              <w:bottom w:w="60" w:type="dxa"/>
              <w:right w:w="100" w:type="dxa"/>
            </w:tcMar>
          </w:tcPr>
          <w:p w14:paraId="7BF24AC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usuarios</w:t>
            </w:r>
          </w:p>
        </w:tc>
        <w:tc>
          <w:tcPr>
            <w:tcW w:w="4600" w:type="dxa"/>
            <w:tcMar>
              <w:top w:w="60" w:type="dxa"/>
              <w:left w:w="100" w:type="dxa"/>
              <w:bottom w:w="60" w:type="dxa"/>
              <w:right w:w="100" w:type="dxa"/>
            </w:tcMar>
          </w:tcPr>
          <w:p w14:paraId="192BF9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Soporte de la autenticación y, sobre todo, de la auditoría de confirmaciones manuales y ajustes exigida por RF-14.</w:t>
            </w:r>
          </w:p>
        </w:tc>
        <w:tc>
          <w:tcPr>
            <w:tcW w:w="2660" w:type="dxa"/>
            <w:tcMar>
              <w:top w:w="60" w:type="dxa"/>
              <w:left w:w="100" w:type="dxa"/>
              <w:bottom w:w="60" w:type="dxa"/>
              <w:right w:w="100" w:type="dxa"/>
            </w:tcMar>
          </w:tcPr>
          <w:p w14:paraId="4701476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riesgo de trazabilidad, sección 12 del documento técnico-funcional</w:t>
            </w:r>
          </w:p>
        </w:tc>
      </w:tr>
    </w:tbl>
    <w:p w14:paraId="6D0D5DB4" w14:textId="77777777" w:rsidR="00CE2DA2" w:rsidRPr="00317AA7" w:rsidRDefault="00D91203">
      <w:pPr>
        <w:pStyle w:val="Ttulo2"/>
        <w:rPr>
          <w:rFonts w:ascii="Times New Roman" w:hAnsi="Times New Roman" w:cs="Times New Roman"/>
          <w:color w:val="auto"/>
        </w:rPr>
      </w:pPr>
      <w:bookmarkStart w:id="39" w:name="_Toc237262863"/>
      <w:r>
        <w:rPr>
          <w:rFonts w:ascii="Times New Roman" w:hAnsi="Times New Roman" w:cs="Times New Roman"/>
          <w:color w:val="auto"/>
        </w:rPr>
        <w:t>8.2 Campos preliminares de pedidos_transito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0CE4AA8B" w14:textId="77777777">
        <w:trPr>
          <w:tblHeader/>
        </w:trPr>
        <w:tc>
          <w:tcPr>
            <w:tcW w:w="2600" w:type="dxa"/>
            <w:shd w:val="clear" w:color="auto" w:fill="D9E2F3"/>
            <w:tcMar>
              <w:top w:w="60" w:type="dxa"/>
              <w:left w:w="100" w:type="dxa"/>
              <w:bottom w:w="60" w:type="dxa"/>
              <w:right w:w="100" w:type="dxa"/>
            </w:tcMar>
          </w:tcPr>
          <w:p w14:paraId="34D0B1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Campo</w:t>
            </w:r>
          </w:p>
        </w:tc>
        <w:tc>
          <w:tcPr>
            <w:tcW w:w="1800" w:type="dxa"/>
            <w:shd w:val="clear" w:color="auto" w:fill="D9E2F3"/>
            <w:tcMar>
              <w:top w:w="60" w:type="dxa"/>
              <w:left w:w="100" w:type="dxa"/>
              <w:bottom w:w="60" w:type="dxa"/>
              <w:right w:w="100" w:type="dxa"/>
            </w:tcMar>
          </w:tcPr>
          <w:p w14:paraId="4539903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4C5FA9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3036B655" w14:textId="77777777">
        <w:tc>
          <w:tcPr>
            <w:tcW w:w="2600" w:type="dxa"/>
            <w:tcMar>
              <w:top w:w="60" w:type="dxa"/>
              <w:left w:w="100" w:type="dxa"/>
              <w:bottom w:w="60" w:type="dxa"/>
              <w:right w:w="100" w:type="dxa"/>
            </w:tcMar>
          </w:tcPr>
          <w:p w14:paraId="3B6F5C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oc_numero</w:t>
            </w:r>
          </w:p>
        </w:tc>
        <w:tc>
          <w:tcPr>
            <w:tcW w:w="1800" w:type="dxa"/>
            <w:tcMar>
              <w:top w:w="60" w:type="dxa"/>
              <w:left w:w="100" w:type="dxa"/>
              <w:bottom w:w="60" w:type="dxa"/>
              <w:right w:w="100" w:type="dxa"/>
            </w:tcMar>
          </w:tcPr>
          <w:p w14:paraId="3A2A67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7E326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 de orden de compra.</w:t>
            </w:r>
          </w:p>
        </w:tc>
      </w:tr>
      <w:tr w:rsidR="00CE2DA2" w:rsidRPr="00317AA7" w14:paraId="1926E04D" w14:textId="77777777">
        <w:tc>
          <w:tcPr>
            <w:tcW w:w="2600" w:type="dxa"/>
            <w:tcMar>
              <w:top w:w="60" w:type="dxa"/>
              <w:left w:w="100" w:type="dxa"/>
              <w:bottom w:w="60" w:type="dxa"/>
              <w:right w:w="100" w:type="dxa"/>
            </w:tcMar>
          </w:tcPr>
          <w:p w14:paraId="3DFDA1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posicion_oc</w:t>
            </w:r>
          </w:p>
        </w:tc>
        <w:tc>
          <w:tcPr>
            <w:tcW w:w="1800" w:type="dxa"/>
            <w:tcMar>
              <w:top w:w="60" w:type="dxa"/>
              <w:left w:w="100" w:type="dxa"/>
              <w:bottom w:w="60" w:type="dxa"/>
              <w:right w:w="100" w:type="dxa"/>
            </w:tcMar>
          </w:tcPr>
          <w:p w14:paraId="463948F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1EB176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Línea o posición dentro de la orden.</w:t>
            </w:r>
          </w:p>
        </w:tc>
      </w:tr>
      <w:tr w:rsidR="00CE2DA2" w:rsidRPr="00317AA7" w14:paraId="76263CCC" w14:textId="77777777">
        <w:tc>
          <w:tcPr>
            <w:tcW w:w="2600" w:type="dxa"/>
            <w:tcMar>
              <w:top w:w="60" w:type="dxa"/>
              <w:left w:w="100" w:type="dxa"/>
              <w:bottom w:w="60" w:type="dxa"/>
              <w:right w:w="100" w:type="dxa"/>
            </w:tcMar>
          </w:tcPr>
          <w:p w14:paraId="0377B74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w:t>
            </w:r>
          </w:p>
        </w:tc>
        <w:tc>
          <w:tcPr>
            <w:tcW w:w="1800" w:type="dxa"/>
            <w:tcMar>
              <w:top w:w="60" w:type="dxa"/>
              <w:left w:w="100" w:type="dxa"/>
              <w:bottom w:w="60" w:type="dxa"/>
              <w:right w:w="100" w:type="dxa"/>
            </w:tcMar>
          </w:tcPr>
          <w:p w14:paraId="22BFC9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32AEC77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y descripción del material.</w:t>
            </w:r>
          </w:p>
        </w:tc>
      </w:tr>
      <w:tr w:rsidR="00CE2DA2" w:rsidRPr="00317AA7" w14:paraId="58F69F4F" w14:textId="77777777">
        <w:tc>
          <w:tcPr>
            <w:tcW w:w="2600" w:type="dxa"/>
            <w:tcMar>
              <w:top w:w="60" w:type="dxa"/>
              <w:left w:w="100" w:type="dxa"/>
              <w:bottom w:w="60" w:type="dxa"/>
              <w:right w:w="100" w:type="dxa"/>
            </w:tcMar>
          </w:tcPr>
          <w:p w14:paraId="33F75C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w:t>
            </w:r>
          </w:p>
        </w:tc>
        <w:tc>
          <w:tcPr>
            <w:tcW w:w="1800" w:type="dxa"/>
            <w:tcMar>
              <w:top w:w="60" w:type="dxa"/>
              <w:left w:w="100" w:type="dxa"/>
              <w:bottom w:w="60" w:type="dxa"/>
              <w:right w:w="100" w:type="dxa"/>
            </w:tcMar>
          </w:tcPr>
          <w:p w14:paraId="33B357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224CD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 asociado al pedido.</w:t>
            </w:r>
          </w:p>
        </w:tc>
      </w:tr>
      <w:tr w:rsidR="00CE2DA2" w:rsidRPr="00317AA7" w14:paraId="179CC0DE" w14:textId="77777777">
        <w:tc>
          <w:tcPr>
            <w:tcW w:w="2600" w:type="dxa"/>
            <w:tcMar>
              <w:top w:w="60" w:type="dxa"/>
              <w:left w:w="100" w:type="dxa"/>
              <w:bottom w:w="60" w:type="dxa"/>
              <w:right w:w="100" w:type="dxa"/>
            </w:tcMar>
          </w:tcPr>
          <w:p w14:paraId="084A820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fecha_entrega_pedido</w:t>
            </w:r>
          </w:p>
        </w:tc>
        <w:tc>
          <w:tcPr>
            <w:tcW w:w="1800" w:type="dxa"/>
            <w:tcMar>
              <w:top w:w="60" w:type="dxa"/>
              <w:left w:w="100" w:type="dxa"/>
              <w:bottom w:w="60" w:type="dxa"/>
              <w:right w:w="100" w:type="dxa"/>
            </w:tcMar>
          </w:tcPr>
          <w:p w14:paraId="2D6A24D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DATE</w:t>
            </w:r>
          </w:p>
        </w:tc>
        <w:tc>
          <w:tcPr>
            <w:tcW w:w="4960" w:type="dxa"/>
            <w:tcMar>
              <w:top w:w="60" w:type="dxa"/>
              <w:left w:w="100" w:type="dxa"/>
              <w:bottom w:w="60" w:type="dxa"/>
              <w:right w:w="100" w:type="dxa"/>
            </w:tcMar>
          </w:tcPr>
          <w:p w14:paraId="5C14736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comprometida según el pedido.</w:t>
            </w:r>
          </w:p>
        </w:tc>
      </w:tr>
      <w:tr w:rsidR="00CE2DA2" w:rsidRPr="00317AA7" w14:paraId="116CCB0C" w14:textId="77777777">
        <w:tc>
          <w:tcPr>
            <w:tcW w:w="2600" w:type="dxa"/>
            <w:tcMar>
              <w:top w:w="60" w:type="dxa"/>
              <w:left w:w="100" w:type="dxa"/>
              <w:bottom w:w="60" w:type="dxa"/>
              <w:right w:w="100" w:type="dxa"/>
            </w:tcMar>
          </w:tcPr>
          <w:p w14:paraId="739FB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via_transporte</w:t>
            </w:r>
          </w:p>
        </w:tc>
        <w:tc>
          <w:tcPr>
            <w:tcW w:w="1800" w:type="dxa"/>
            <w:tcMar>
              <w:top w:w="60" w:type="dxa"/>
              <w:left w:w="100" w:type="dxa"/>
              <w:bottom w:w="60" w:type="dxa"/>
              <w:right w:w="100" w:type="dxa"/>
            </w:tcMar>
          </w:tcPr>
          <w:p w14:paraId="50E8FA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14F18A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Aéreo o marítimo.</w:t>
            </w:r>
          </w:p>
        </w:tc>
      </w:tr>
      <w:tr w:rsidR="00CE2DA2" w:rsidRPr="00317AA7" w14:paraId="79F6F539" w14:textId="77777777">
        <w:tc>
          <w:tcPr>
            <w:tcW w:w="2600" w:type="dxa"/>
            <w:tcMar>
              <w:top w:w="60" w:type="dxa"/>
              <w:left w:w="100" w:type="dxa"/>
              <w:bottom w:w="60" w:type="dxa"/>
              <w:right w:w="100" w:type="dxa"/>
            </w:tcMar>
          </w:tcPr>
          <w:p w14:paraId="15B650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tracking_interno</w:t>
            </w:r>
          </w:p>
        </w:tc>
        <w:tc>
          <w:tcPr>
            <w:tcW w:w="1800" w:type="dxa"/>
            <w:tcMar>
              <w:top w:w="60" w:type="dxa"/>
              <w:left w:w="100" w:type="dxa"/>
              <w:bottom w:w="60" w:type="dxa"/>
              <w:right w:w="100" w:type="dxa"/>
            </w:tcMar>
          </w:tcPr>
          <w:p w14:paraId="0E360B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4A56AB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único interno de seguimiento.</w:t>
            </w:r>
          </w:p>
        </w:tc>
      </w:tr>
      <w:tr w:rsidR="00CE2DA2" w:rsidRPr="00317AA7" w14:paraId="56EE2551" w14:textId="77777777">
        <w:tc>
          <w:tcPr>
            <w:tcW w:w="2600" w:type="dxa"/>
            <w:tcMar>
              <w:top w:w="60" w:type="dxa"/>
              <w:left w:w="100" w:type="dxa"/>
              <w:bottom w:w="60" w:type="dxa"/>
              <w:right w:w="100" w:type="dxa"/>
            </w:tcMar>
          </w:tcPr>
          <w:p w14:paraId="1BA4F1E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id_elemento_rastreado</w:t>
            </w:r>
          </w:p>
        </w:tc>
        <w:tc>
          <w:tcPr>
            <w:tcW w:w="1800" w:type="dxa"/>
            <w:tcMar>
              <w:top w:w="60" w:type="dxa"/>
              <w:left w:w="100" w:type="dxa"/>
              <w:bottom w:w="60" w:type="dxa"/>
              <w:right w:w="100" w:type="dxa"/>
            </w:tcMar>
          </w:tcPr>
          <w:p w14:paraId="21E1F48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BIGINT</w:t>
            </w:r>
          </w:p>
        </w:tc>
        <w:tc>
          <w:tcPr>
            <w:tcW w:w="4960" w:type="dxa"/>
            <w:tcMar>
              <w:top w:w="60" w:type="dxa"/>
              <w:left w:w="100" w:type="dxa"/>
              <w:bottom w:w="60" w:type="dxa"/>
              <w:right w:w="100" w:type="dxa"/>
            </w:tcMar>
          </w:tcPr>
          <w:p w14:paraId="746EBA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Referencia al elemento rastreado (nave o vuelo) que transporta el pedido. Varios pedidos pueden compartir el mismo elemento.</w:t>
            </w:r>
          </w:p>
        </w:tc>
      </w:tr>
      <w:tr w:rsidR="00CE2DA2" w:rsidRPr="00317AA7" w14:paraId="2FFC66C8" w14:textId="77777777">
        <w:tc>
          <w:tcPr>
            <w:tcW w:w="2600" w:type="dxa"/>
            <w:tcMar>
              <w:top w:w="60" w:type="dxa"/>
              <w:left w:w="100" w:type="dxa"/>
              <w:bottom w:w="60" w:type="dxa"/>
              <w:right w:w="100" w:type="dxa"/>
            </w:tcMar>
          </w:tcPr>
          <w:p w14:paraId="53380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800" w:type="dxa"/>
            <w:tcMar>
              <w:top w:w="60" w:type="dxa"/>
              <w:left w:w="100" w:type="dxa"/>
              <w:bottom w:w="60" w:type="dxa"/>
              <w:right w:w="100" w:type="dxa"/>
            </w:tcMar>
          </w:tcPr>
          <w:p w14:paraId="280F305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69BDC35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Puerto o aeropuerto de destino.</w:t>
            </w:r>
          </w:p>
        </w:tc>
      </w:tr>
      <w:tr w:rsidR="00CE2DA2" w:rsidRPr="00317AA7" w14:paraId="66225DA8" w14:textId="77777777">
        <w:tc>
          <w:tcPr>
            <w:tcW w:w="2600" w:type="dxa"/>
            <w:tcMar>
              <w:top w:w="60" w:type="dxa"/>
              <w:left w:w="100" w:type="dxa"/>
              <w:bottom w:w="60" w:type="dxa"/>
              <w:right w:w="100" w:type="dxa"/>
            </w:tcMar>
          </w:tcPr>
          <w:p w14:paraId="091A6C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ata_confirmada</w:t>
            </w:r>
          </w:p>
        </w:tc>
        <w:tc>
          <w:tcPr>
            <w:tcW w:w="1800" w:type="dxa"/>
            <w:tcMar>
              <w:top w:w="60" w:type="dxa"/>
              <w:left w:w="100" w:type="dxa"/>
              <w:bottom w:w="60" w:type="dxa"/>
              <w:right w:w="100" w:type="dxa"/>
            </w:tcMar>
          </w:tcPr>
          <w:p w14:paraId="55BA3BB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649293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y hora de llegada confirmada manualmente por Logística. Tiene precedencia sobre la ETA de la API conforme a RN-14.</w:t>
            </w:r>
          </w:p>
        </w:tc>
      </w:tr>
      <w:tr w:rsidR="00CE2DA2" w:rsidRPr="00317AA7" w14:paraId="5F8B472F" w14:textId="77777777">
        <w:tc>
          <w:tcPr>
            <w:tcW w:w="2600" w:type="dxa"/>
            <w:tcMar>
              <w:top w:w="60" w:type="dxa"/>
              <w:left w:w="100" w:type="dxa"/>
              <w:bottom w:w="60" w:type="dxa"/>
              <w:right w:w="100" w:type="dxa"/>
            </w:tcMar>
          </w:tcPr>
          <w:p w14:paraId="0567636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lead_time_destino_dias</w:t>
            </w:r>
          </w:p>
        </w:tc>
        <w:tc>
          <w:tcPr>
            <w:tcW w:w="1800" w:type="dxa"/>
            <w:tcMar>
              <w:top w:w="60" w:type="dxa"/>
              <w:left w:w="100" w:type="dxa"/>
              <w:bottom w:w="60" w:type="dxa"/>
              <w:right w:w="100" w:type="dxa"/>
            </w:tcMar>
          </w:tcPr>
          <w:p w14:paraId="6A5C3B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6F63B7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de desembarque, nacionalización y traslado del destino, conforme a RN-12.</w:t>
            </w:r>
          </w:p>
        </w:tc>
      </w:tr>
      <w:tr w:rsidR="00CE2DA2" w:rsidRPr="00317AA7" w14:paraId="2EA62562" w14:textId="77777777">
        <w:tc>
          <w:tcPr>
            <w:tcW w:w="2600" w:type="dxa"/>
            <w:tcMar>
              <w:top w:w="60" w:type="dxa"/>
              <w:left w:w="100" w:type="dxa"/>
              <w:bottom w:w="60" w:type="dxa"/>
              <w:right w:w="100" w:type="dxa"/>
            </w:tcMar>
          </w:tcPr>
          <w:p w14:paraId="7D36CB5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fecha_proyectada_disponible</w:t>
            </w:r>
          </w:p>
        </w:tc>
        <w:tc>
          <w:tcPr>
            <w:tcW w:w="1800" w:type="dxa"/>
            <w:tcMar>
              <w:top w:w="60" w:type="dxa"/>
              <w:left w:w="100" w:type="dxa"/>
              <w:bottom w:w="60" w:type="dxa"/>
              <w:right w:w="100" w:type="dxa"/>
            </w:tcMar>
          </w:tcPr>
          <w:p w14:paraId="3A2386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DATE</w:t>
            </w:r>
          </w:p>
        </w:tc>
        <w:tc>
          <w:tcPr>
            <w:tcW w:w="4960" w:type="dxa"/>
            <w:tcMar>
              <w:top w:w="60" w:type="dxa"/>
              <w:left w:w="100" w:type="dxa"/>
              <w:bottom w:w="60" w:type="dxa"/>
              <w:right w:w="100" w:type="dxa"/>
            </w:tcMar>
          </w:tcPr>
          <w:p w14:paraId="7FE5D19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empleada para evaluar el cumplimiento.</w:t>
            </w:r>
          </w:p>
        </w:tc>
      </w:tr>
      <w:tr w:rsidR="00CE2DA2" w:rsidRPr="00317AA7" w14:paraId="45B7ABF0" w14:textId="77777777">
        <w:tc>
          <w:tcPr>
            <w:tcW w:w="2600" w:type="dxa"/>
            <w:tcMar>
              <w:top w:w="60" w:type="dxa"/>
              <w:left w:w="100" w:type="dxa"/>
              <w:bottom w:w="60" w:type="dxa"/>
              <w:right w:w="100" w:type="dxa"/>
            </w:tcMar>
          </w:tcPr>
          <w:p w14:paraId="36F4FBF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estado_calculado</w:t>
            </w:r>
          </w:p>
        </w:tc>
        <w:tc>
          <w:tcPr>
            <w:tcW w:w="1800" w:type="dxa"/>
            <w:tcMar>
              <w:top w:w="60" w:type="dxa"/>
              <w:left w:w="100" w:type="dxa"/>
              <w:bottom w:w="60" w:type="dxa"/>
              <w:right w:w="100" w:type="dxa"/>
            </w:tcMar>
          </w:tcPr>
          <w:p w14:paraId="6F7210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5E1E2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 funcional calculado conforme a la sección 7.</w:t>
            </w:r>
          </w:p>
        </w:tc>
      </w:tr>
      <w:tr w:rsidR="00CE2DA2" w:rsidRPr="00317AA7" w14:paraId="278AA4FC" w14:textId="77777777">
        <w:tc>
          <w:tcPr>
            <w:tcW w:w="2600" w:type="dxa"/>
            <w:tcMar>
              <w:top w:w="60" w:type="dxa"/>
              <w:left w:w="100" w:type="dxa"/>
              <w:bottom w:w="60" w:type="dxa"/>
              <w:right w:w="100" w:type="dxa"/>
            </w:tcMar>
          </w:tcPr>
          <w:p w14:paraId="4F6FD09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fecha_recepcion_planta</w:t>
            </w:r>
          </w:p>
        </w:tc>
        <w:tc>
          <w:tcPr>
            <w:tcW w:w="1800" w:type="dxa"/>
            <w:tcMar>
              <w:top w:w="60" w:type="dxa"/>
              <w:left w:w="100" w:type="dxa"/>
              <w:bottom w:w="60" w:type="dxa"/>
              <w:right w:w="100" w:type="dxa"/>
            </w:tcMar>
          </w:tcPr>
          <w:p w14:paraId="0FA32E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023788E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y hora de ingreso efectivo a planta o almacén (RF-25).</w:t>
            </w:r>
          </w:p>
        </w:tc>
      </w:tr>
      <w:tr w:rsidR="00CE2DA2" w:rsidRPr="00317AA7" w14:paraId="32CFC95D" w14:textId="77777777">
        <w:tc>
          <w:tcPr>
            <w:tcW w:w="2600" w:type="dxa"/>
            <w:tcMar>
              <w:top w:w="60" w:type="dxa"/>
              <w:left w:w="100" w:type="dxa"/>
              <w:bottom w:w="60" w:type="dxa"/>
              <w:right w:w="100" w:type="dxa"/>
            </w:tcMar>
          </w:tcPr>
          <w:p w14:paraId="0CE826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cantidad_recibida</w:t>
            </w:r>
          </w:p>
        </w:tc>
        <w:tc>
          <w:tcPr>
            <w:tcW w:w="1800" w:type="dxa"/>
            <w:tcMar>
              <w:top w:w="60" w:type="dxa"/>
              <w:left w:w="100" w:type="dxa"/>
              <w:bottom w:w="60" w:type="dxa"/>
              <w:right w:w="100" w:type="dxa"/>
            </w:tcMar>
          </w:tcPr>
          <w:p w14:paraId="4117DE8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4BC07E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 efectivamente recibida, para evaluar el margen de tolerancia del diez por ciento de RN-10.</w:t>
            </w:r>
          </w:p>
        </w:tc>
      </w:tr>
      <w:tr w:rsidR="00CE2DA2" w:rsidRPr="00317AA7" w14:paraId="67AB982C" w14:textId="77777777">
        <w:tc>
          <w:tcPr>
            <w:tcW w:w="2600" w:type="dxa"/>
            <w:tcMar>
              <w:top w:w="60" w:type="dxa"/>
              <w:left w:w="100" w:type="dxa"/>
              <w:bottom w:w="60" w:type="dxa"/>
              <w:right w:w="100" w:type="dxa"/>
            </w:tcMar>
          </w:tcPr>
          <w:p w14:paraId="686CCF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motivo_cierre</w:t>
            </w:r>
          </w:p>
        </w:tc>
        <w:tc>
          <w:tcPr>
            <w:tcW w:w="1800" w:type="dxa"/>
            <w:tcMar>
              <w:top w:w="60" w:type="dxa"/>
              <w:left w:w="100" w:type="dxa"/>
              <w:bottom w:w="60" w:type="dxa"/>
              <w:right w:w="100" w:type="dxa"/>
            </w:tcMar>
          </w:tcPr>
          <w:p w14:paraId="31707F9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43DBF0A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Causa del estado terminal: recepción conforme, cierre forzado o cancelación de la orden (RN-13).</w:t>
            </w:r>
          </w:p>
        </w:tc>
      </w:tr>
    </w:tbl>
    <w:p w14:paraId="215CD45B" w14:textId="77777777" w:rsidR="00CE2DA2" w:rsidRPr="00317AA7" w:rsidRDefault="00D91203">
      <w:pPr>
        <w:pStyle w:val="Ttulo2"/>
        <w:rPr>
          <w:rFonts w:ascii="Times New Roman" w:hAnsi="Times New Roman" w:cs="Times New Roman"/>
          <w:color w:val="auto"/>
        </w:rPr>
      </w:pPr>
      <w:bookmarkStart w:id="40" w:name="_Toc237262864"/>
      <w:r>
        <w:rPr>
          <w:rFonts w:ascii="Times New Roman" w:hAnsi="Times New Roman" w:cs="Times New Roman"/>
          <w:color w:val="auto"/>
        </w:rPr>
        <w:t>8.3 Campos preliminares de maestro_destinos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61C3CC83" w14:textId="77777777">
        <w:trPr>
          <w:tblHeader/>
        </w:trPr>
        <w:tc>
          <w:tcPr>
            <w:tcW w:w="2600" w:type="dxa"/>
            <w:shd w:val="clear" w:color="auto" w:fill="D9E2F3"/>
            <w:tcMar>
              <w:top w:w="60" w:type="dxa"/>
              <w:left w:w="100" w:type="dxa"/>
              <w:bottom w:w="60" w:type="dxa"/>
              <w:right w:w="100" w:type="dxa"/>
            </w:tcMar>
          </w:tcPr>
          <w:p w14:paraId="014B6F8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w:t>
            </w:r>
          </w:p>
        </w:tc>
        <w:tc>
          <w:tcPr>
            <w:tcW w:w="1800" w:type="dxa"/>
            <w:shd w:val="clear" w:color="auto" w:fill="D9E2F3"/>
            <w:tcMar>
              <w:top w:w="60" w:type="dxa"/>
              <w:left w:w="100" w:type="dxa"/>
              <w:bottom w:w="60" w:type="dxa"/>
              <w:right w:w="100" w:type="dxa"/>
            </w:tcMar>
          </w:tcPr>
          <w:p w14:paraId="4601E73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521098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7AD4BB91" w14:textId="77777777">
        <w:tc>
          <w:tcPr>
            <w:tcW w:w="2600" w:type="dxa"/>
            <w:tcMar>
              <w:top w:w="60" w:type="dxa"/>
              <w:left w:w="100" w:type="dxa"/>
              <w:bottom w:w="60" w:type="dxa"/>
              <w:right w:w="100" w:type="dxa"/>
            </w:tcMar>
          </w:tcPr>
          <w:p w14:paraId="2F89B31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800" w:type="dxa"/>
            <w:tcMar>
              <w:top w:w="60" w:type="dxa"/>
              <w:left w:w="100" w:type="dxa"/>
              <w:bottom w:w="60" w:type="dxa"/>
              <w:right w:w="100" w:type="dxa"/>
            </w:tcMar>
          </w:tcPr>
          <w:p w14:paraId="50A7D8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523949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Puerto o aeropuerto.</w:t>
            </w:r>
          </w:p>
        </w:tc>
      </w:tr>
      <w:tr w:rsidR="00CE2DA2" w:rsidRPr="00317AA7" w14:paraId="3C8CCC0E" w14:textId="77777777">
        <w:tc>
          <w:tcPr>
            <w:tcW w:w="2600" w:type="dxa"/>
            <w:tcMar>
              <w:top w:w="60" w:type="dxa"/>
              <w:left w:w="100" w:type="dxa"/>
              <w:bottom w:w="60" w:type="dxa"/>
              <w:right w:w="100" w:type="dxa"/>
            </w:tcMar>
          </w:tcPr>
          <w:p w14:paraId="4E2CA0A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via_transporte</w:t>
            </w:r>
          </w:p>
        </w:tc>
        <w:tc>
          <w:tcPr>
            <w:tcW w:w="1800" w:type="dxa"/>
            <w:tcMar>
              <w:top w:w="60" w:type="dxa"/>
              <w:left w:w="100" w:type="dxa"/>
              <w:bottom w:w="60" w:type="dxa"/>
              <w:right w:w="100" w:type="dxa"/>
            </w:tcMar>
          </w:tcPr>
          <w:p w14:paraId="211C5E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585B2AF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Aéreo o marítimo.</w:t>
            </w:r>
          </w:p>
        </w:tc>
      </w:tr>
      <w:tr w:rsidR="00CE2DA2" w:rsidRPr="00317AA7" w14:paraId="74FE81C8" w14:textId="77777777">
        <w:tc>
          <w:tcPr>
            <w:tcW w:w="2600" w:type="dxa"/>
            <w:tcMar>
              <w:top w:w="60" w:type="dxa"/>
              <w:left w:w="100" w:type="dxa"/>
              <w:bottom w:w="60" w:type="dxa"/>
              <w:right w:w="100" w:type="dxa"/>
            </w:tcMar>
          </w:tcPr>
          <w:p w14:paraId="007D0C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lead_time_dias</w:t>
            </w:r>
          </w:p>
        </w:tc>
        <w:tc>
          <w:tcPr>
            <w:tcW w:w="1800" w:type="dxa"/>
            <w:tcMar>
              <w:top w:w="60" w:type="dxa"/>
              <w:left w:w="100" w:type="dxa"/>
              <w:bottom w:w="60" w:type="dxa"/>
              <w:right w:w="100" w:type="dxa"/>
            </w:tcMar>
          </w:tcPr>
          <w:p w14:paraId="584250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03231C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de desembarque, nacionalización y traslado hasta planta. Único por destino conforme a RN-12.</w:t>
            </w:r>
          </w:p>
        </w:tc>
      </w:tr>
      <w:tr w:rsidR="00CE2DA2" w:rsidRPr="00317AA7" w14:paraId="5B2B65B7" w14:textId="77777777">
        <w:tc>
          <w:tcPr>
            <w:tcW w:w="2600" w:type="dxa"/>
            <w:tcMar>
              <w:top w:w="60" w:type="dxa"/>
              <w:left w:w="100" w:type="dxa"/>
              <w:bottom w:w="60" w:type="dxa"/>
              <w:right w:w="100" w:type="dxa"/>
            </w:tcMar>
          </w:tcPr>
          <w:p w14:paraId="282948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activo</w:t>
            </w:r>
          </w:p>
        </w:tc>
        <w:tc>
          <w:tcPr>
            <w:tcW w:w="1800" w:type="dxa"/>
            <w:tcMar>
              <w:top w:w="60" w:type="dxa"/>
              <w:left w:w="100" w:type="dxa"/>
              <w:bottom w:w="60" w:type="dxa"/>
              <w:right w:w="100" w:type="dxa"/>
            </w:tcMar>
          </w:tcPr>
          <w:p w14:paraId="52C74D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BOOLEAN</w:t>
            </w:r>
          </w:p>
        </w:tc>
        <w:tc>
          <w:tcPr>
            <w:tcW w:w="4960" w:type="dxa"/>
            <w:tcMar>
              <w:top w:w="60" w:type="dxa"/>
              <w:left w:w="100" w:type="dxa"/>
              <w:bottom w:w="60" w:type="dxa"/>
              <w:right w:w="100" w:type="dxa"/>
            </w:tcMar>
          </w:tcPr>
          <w:p w14:paraId="42FF675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Indica si el destino se emplea para los cálculos.</w:t>
            </w:r>
          </w:p>
        </w:tc>
      </w:tr>
      <w:tr w:rsidR="00CE2DA2" w:rsidRPr="00317AA7" w14:paraId="2EDB2FD2" w14:textId="77777777">
        <w:tc>
          <w:tcPr>
            <w:tcW w:w="2600" w:type="dxa"/>
            <w:tcMar>
              <w:top w:w="60" w:type="dxa"/>
              <w:left w:w="100" w:type="dxa"/>
              <w:bottom w:w="60" w:type="dxa"/>
              <w:right w:w="100" w:type="dxa"/>
            </w:tcMar>
          </w:tcPr>
          <w:p w14:paraId="2AEA0EC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observacion</w:t>
            </w:r>
          </w:p>
        </w:tc>
        <w:tc>
          <w:tcPr>
            <w:tcW w:w="1800" w:type="dxa"/>
            <w:tcMar>
              <w:top w:w="60" w:type="dxa"/>
              <w:left w:w="100" w:type="dxa"/>
              <w:bottom w:w="60" w:type="dxa"/>
              <w:right w:w="100" w:type="dxa"/>
            </w:tcMar>
          </w:tcPr>
          <w:p w14:paraId="70458DF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w:t>
            </w:r>
          </w:p>
        </w:tc>
        <w:tc>
          <w:tcPr>
            <w:tcW w:w="4960" w:type="dxa"/>
            <w:tcMar>
              <w:top w:w="60" w:type="dxa"/>
              <w:left w:w="100" w:type="dxa"/>
              <w:bottom w:w="60" w:type="dxa"/>
              <w:right w:w="100" w:type="dxa"/>
            </w:tcMar>
          </w:tcPr>
          <w:p w14:paraId="3764BE0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Comentarios logísticos.</w:t>
            </w:r>
          </w:p>
        </w:tc>
      </w:tr>
    </w:tbl>
    <w:p w14:paraId="29C648E2" w14:textId="77777777" w:rsidR="00CE2DA2" w:rsidRPr="00317AA7" w:rsidRDefault="00D91203">
      <w:pPr>
        <w:pStyle w:val="Ttulo2"/>
        <w:rPr>
          <w:rFonts w:ascii="Times New Roman" w:hAnsi="Times New Roman" w:cs="Times New Roman"/>
          <w:color w:val="auto"/>
        </w:rPr>
      </w:pPr>
      <w:bookmarkStart w:id="41" w:name="_Toc237262865"/>
      <w:r>
        <w:rPr>
          <w:rFonts w:ascii="Times New Roman" w:hAnsi="Times New Roman" w:cs="Times New Roman"/>
          <w:color w:val="auto"/>
        </w:rPr>
        <w:t>8.4 Campos preliminares de historial_tracking</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17BFFB88" w14:textId="77777777">
        <w:trPr>
          <w:tblHeader/>
        </w:trPr>
        <w:tc>
          <w:tcPr>
            <w:tcW w:w="2600" w:type="dxa"/>
            <w:shd w:val="clear" w:color="auto" w:fill="D9E2F3"/>
            <w:tcMar>
              <w:top w:w="60" w:type="dxa"/>
              <w:left w:w="100" w:type="dxa"/>
              <w:bottom w:w="60" w:type="dxa"/>
              <w:right w:w="100" w:type="dxa"/>
            </w:tcMar>
          </w:tcPr>
          <w:p w14:paraId="36E6C5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Campo</w:t>
            </w:r>
          </w:p>
        </w:tc>
        <w:tc>
          <w:tcPr>
            <w:tcW w:w="1800" w:type="dxa"/>
            <w:shd w:val="clear" w:color="auto" w:fill="D9E2F3"/>
            <w:tcMar>
              <w:top w:w="60" w:type="dxa"/>
              <w:left w:w="100" w:type="dxa"/>
              <w:bottom w:w="60" w:type="dxa"/>
              <w:right w:w="100" w:type="dxa"/>
            </w:tcMar>
          </w:tcPr>
          <w:p w14:paraId="4E306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30DFE0C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5FCECC65" w14:textId="77777777">
        <w:tc>
          <w:tcPr>
            <w:tcW w:w="2600" w:type="dxa"/>
            <w:tcMar>
              <w:top w:w="60" w:type="dxa"/>
              <w:left w:w="100" w:type="dxa"/>
              <w:bottom w:w="60" w:type="dxa"/>
              <w:right w:w="100" w:type="dxa"/>
            </w:tcMar>
          </w:tcPr>
          <w:p w14:paraId="3B2148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w:t>
            </w:r>
          </w:p>
        </w:tc>
        <w:tc>
          <w:tcPr>
            <w:tcW w:w="1800" w:type="dxa"/>
            <w:tcMar>
              <w:top w:w="60" w:type="dxa"/>
              <w:left w:w="100" w:type="dxa"/>
              <w:bottom w:w="60" w:type="dxa"/>
              <w:right w:w="100" w:type="dxa"/>
            </w:tcMar>
          </w:tcPr>
          <w:p w14:paraId="06F3BE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BIGSERIAL</w:t>
            </w:r>
          </w:p>
        </w:tc>
        <w:tc>
          <w:tcPr>
            <w:tcW w:w="4960" w:type="dxa"/>
            <w:tcMar>
              <w:top w:w="60" w:type="dxa"/>
              <w:left w:w="100" w:type="dxa"/>
              <w:bottom w:w="60" w:type="dxa"/>
              <w:right w:w="100" w:type="dxa"/>
            </w:tcMar>
          </w:tcPr>
          <w:p w14:paraId="4FD600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Identificador del registro histórico.</w:t>
            </w:r>
          </w:p>
        </w:tc>
      </w:tr>
      <w:tr w:rsidR="00CE2DA2" w:rsidRPr="00317AA7" w14:paraId="74A811DE" w14:textId="77777777">
        <w:tc>
          <w:tcPr>
            <w:tcW w:w="2600" w:type="dxa"/>
            <w:tcMar>
              <w:top w:w="60" w:type="dxa"/>
              <w:left w:w="100" w:type="dxa"/>
              <w:bottom w:w="60" w:type="dxa"/>
              <w:right w:w="100" w:type="dxa"/>
            </w:tcMar>
          </w:tcPr>
          <w:p w14:paraId="1B842E9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id_elemento_rastreado</w:t>
            </w:r>
          </w:p>
        </w:tc>
        <w:tc>
          <w:tcPr>
            <w:tcW w:w="1800" w:type="dxa"/>
            <w:tcMar>
              <w:top w:w="60" w:type="dxa"/>
              <w:left w:w="100" w:type="dxa"/>
              <w:bottom w:w="60" w:type="dxa"/>
              <w:right w:w="100" w:type="dxa"/>
            </w:tcMar>
          </w:tcPr>
          <w:p w14:paraId="38FB050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10FDD38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Relación con el elemento rastreado (nave o vuelo).</w:t>
            </w:r>
          </w:p>
        </w:tc>
      </w:tr>
      <w:tr w:rsidR="00CE2DA2" w:rsidRPr="00317AA7" w14:paraId="0DA209B8" w14:textId="77777777">
        <w:tc>
          <w:tcPr>
            <w:tcW w:w="2600" w:type="dxa"/>
            <w:tcMar>
              <w:top w:w="60" w:type="dxa"/>
              <w:left w:w="100" w:type="dxa"/>
              <w:bottom w:w="60" w:type="dxa"/>
              <w:right w:w="100" w:type="dxa"/>
            </w:tcMar>
          </w:tcPr>
          <w:p w14:paraId="6EC264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fecha_registro</w:t>
            </w:r>
          </w:p>
        </w:tc>
        <w:tc>
          <w:tcPr>
            <w:tcW w:w="1800" w:type="dxa"/>
            <w:tcMar>
              <w:top w:w="60" w:type="dxa"/>
              <w:left w:w="100" w:type="dxa"/>
              <w:bottom w:w="60" w:type="dxa"/>
              <w:right w:w="100" w:type="dxa"/>
            </w:tcMar>
          </w:tcPr>
          <w:p w14:paraId="328B61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28277A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Momento de la captura.</w:t>
            </w:r>
          </w:p>
        </w:tc>
      </w:tr>
      <w:tr w:rsidR="00CE2DA2" w:rsidRPr="00317AA7" w14:paraId="2E5BDD59" w14:textId="77777777">
        <w:tc>
          <w:tcPr>
            <w:tcW w:w="2600" w:type="dxa"/>
            <w:tcMar>
              <w:top w:w="60" w:type="dxa"/>
              <w:left w:w="100" w:type="dxa"/>
              <w:bottom w:w="60" w:type="dxa"/>
              <w:right w:w="100" w:type="dxa"/>
            </w:tcMar>
          </w:tcPr>
          <w:p w14:paraId="1C5B94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latitud</w:t>
            </w:r>
          </w:p>
        </w:tc>
        <w:tc>
          <w:tcPr>
            <w:tcW w:w="1800" w:type="dxa"/>
            <w:tcMar>
              <w:top w:w="60" w:type="dxa"/>
              <w:left w:w="100" w:type="dxa"/>
              <w:bottom w:w="60" w:type="dxa"/>
              <w:right w:w="100" w:type="dxa"/>
            </w:tcMar>
          </w:tcPr>
          <w:p w14:paraId="00610A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25D9C4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Latitud reportada.</w:t>
            </w:r>
          </w:p>
        </w:tc>
      </w:tr>
      <w:tr w:rsidR="00CE2DA2" w:rsidRPr="00317AA7" w14:paraId="0D44D29B" w14:textId="77777777">
        <w:tc>
          <w:tcPr>
            <w:tcW w:w="2600" w:type="dxa"/>
            <w:tcMar>
              <w:top w:w="60" w:type="dxa"/>
              <w:left w:w="100" w:type="dxa"/>
              <w:bottom w:w="60" w:type="dxa"/>
              <w:right w:w="100" w:type="dxa"/>
            </w:tcMar>
          </w:tcPr>
          <w:p w14:paraId="15476A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longitud</w:t>
            </w:r>
          </w:p>
        </w:tc>
        <w:tc>
          <w:tcPr>
            <w:tcW w:w="1800" w:type="dxa"/>
            <w:tcMar>
              <w:top w:w="60" w:type="dxa"/>
              <w:left w:w="100" w:type="dxa"/>
              <w:bottom w:w="60" w:type="dxa"/>
              <w:right w:w="100" w:type="dxa"/>
            </w:tcMar>
          </w:tcPr>
          <w:p w14:paraId="6FD8777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5E6CC1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Longitud reportada.</w:t>
            </w:r>
          </w:p>
        </w:tc>
      </w:tr>
      <w:tr w:rsidR="00CE2DA2" w:rsidRPr="00317AA7" w14:paraId="0410D827" w14:textId="77777777">
        <w:tc>
          <w:tcPr>
            <w:tcW w:w="2600" w:type="dxa"/>
            <w:tcMar>
              <w:top w:w="60" w:type="dxa"/>
              <w:left w:w="100" w:type="dxa"/>
              <w:bottom w:w="60" w:type="dxa"/>
              <w:right w:w="100" w:type="dxa"/>
            </w:tcMar>
          </w:tcPr>
          <w:p w14:paraId="245048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velocidad</w:t>
            </w:r>
          </w:p>
        </w:tc>
        <w:tc>
          <w:tcPr>
            <w:tcW w:w="1800" w:type="dxa"/>
            <w:tcMar>
              <w:top w:w="60" w:type="dxa"/>
              <w:left w:w="100" w:type="dxa"/>
              <w:bottom w:w="60" w:type="dxa"/>
              <w:right w:w="100" w:type="dxa"/>
            </w:tcMar>
          </w:tcPr>
          <w:p w14:paraId="36FFAE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09D9D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Velocidad sobre tierra, si aplica.</w:t>
            </w:r>
          </w:p>
        </w:tc>
      </w:tr>
      <w:tr w:rsidR="00CE2DA2" w:rsidRPr="00317AA7" w14:paraId="2402C3BF" w14:textId="77777777">
        <w:tc>
          <w:tcPr>
            <w:tcW w:w="2600" w:type="dxa"/>
            <w:tcMar>
              <w:top w:w="60" w:type="dxa"/>
              <w:left w:w="100" w:type="dxa"/>
              <w:bottom w:w="60" w:type="dxa"/>
              <w:right w:w="100" w:type="dxa"/>
            </w:tcMar>
          </w:tcPr>
          <w:p w14:paraId="154102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rumbo</w:t>
            </w:r>
          </w:p>
        </w:tc>
        <w:tc>
          <w:tcPr>
            <w:tcW w:w="1800" w:type="dxa"/>
            <w:tcMar>
              <w:top w:w="60" w:type="dxa"/>
              <w:left w:w="100" w:type="dxa"/>
              <w:bottom w:w="60" w:type="dxa"/>
              <w:right w:w="100" w:type="dxa"/>
            </w:tcMar>
          </w:tcPr>
          <w:p w14:paraId="7A1604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39A5AD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Curso o rumbo.</w:t>
            </w:r>
          </w:p>
        </w:tc>
      </w:tr>
      <w:tr w:rsidR="00CE2DA2" w:rsidRPr="00317AA7" w14:paraId="3B7AA587" w14:textId="77777777">
        <w:tc>
          <w:tcPr>
            <w:tcW w:w="2600" w:type="dxa"/>
            <w:tcMar>
              <w:top w:w="60" w:type="dxa"/>
              <w:left w:w="100" w:type="dxa"/>
              <w:bottom w:w="60" w:type="dxa"/>
              <w:right w:w="100" w:type="dxa"/>
            </w:tcMar>
          </w:tcPr>
          <w:p w14:paraId="191C2A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estado_api</w:t>
            </w:r>
          </w:p>
        </w:tc>
        <w:tc>
          <w:tcPr>
            <w:tcW w:w="1800" w:type="dxa"/>
            <w:tcMar>
              <w:top w:w="60" w:type="dxa"/>
              <w:left w:w="100" w:type="dxa"/>
              <w:bottom w:w="60" w:type="dxa"/>
              <w:right w:w="100" w:type="dxa"/>
            </w:tcMar>
          </w:tcPr>
          <w:p w14:paraId="688774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2F8FD21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 crudo de la fuente externa.</w:t>
            </w:r>
          </w:p>
        </w:tc>
      </w:tr>
      <w:tr w:rsidR="00CE2DA2" w:rsidRPr="00317AA7" w14:paraId="4EDCB62D" w14:textId="77777777">
        <w:tc>
          <w:tcPr>
            <w:tcW w:w="2600" w:type="dxa"/>
            <w:tcMar>
              <w:top w:w="60" w:type="dxa"/>
              <w:left w:w="100" w:type="dxa"/>
              <w:bottom w:w="60" w:type="dxa"/>
              <w:right w:w="100" w:type="dxa"/>
            </w:tcMar>
          </w:tcPr>
          <w:p w14:paraId="6B2CED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payload_api</w:t>
            </w:r>
          </w:p>
        </w:tc>
        <w:tc>
          <w:tcPr>
            <w:tcW w:w="1800" w:type="dxa"/>
            <w:tcMar>
              <w:top w:w="60" w:type="dxa"/>
              <w:left w:w="100" w:type="dxa"/>
              <w:bottom w:w="60" w:type="dxa"/>
              <w:right w:w="100" w:type="dxa"/>
            </w:tcMar>
          </w:tcPr>
          <w:p w14:paraId="3595CB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JSONB</w:t>
            </w:r>
          </w:p>
        </w:tc>
        <w:tc>
          <w:tcPr>
            <w:tcW w:w="4960" w:type="dxa"/>
            <w:tcMar>
              <w:top w:w="60" w:type="dxa"/>
              <w:left w:w="100" w:type="dxa"/>
              <w:bottom w:w="60" w:type="dxa"/>
              <w:right w:w="100" w:type="dxa"/>
            </w:tcMar>
          </w:tcPr>
          <w:p w14:paraId="4EA5EF5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Respuesta completa de la API, para auditoría.</w:t>
            </w:r>
          </w:p>
        </w:tc>
      </w:tr>
    </w:tbl>
    <w:p w14:paraId="3CF9AC99" w14:textId="77777777" w:rsidR="00CE2DA2" w:rsidRPr="00317AA7" w:rsidRDefault="00D91203">
      <w:pPr>
        <w:pStyle w:val="Ttulo2"/>
        <w:rPr>
          <w:rFonts w:ascii="Times New Roman" w:hAnsi="Times New Roman" w:cs="Times New Roman"/>
          <w:color w:val="auto"/>
        </w:rPr>
      </w:pPr>
      <w:bookmarkStart w:id="42" w:name="_Toc237262865_c1"/>
      <w:r>
        <w:rPr>
          <w:rFonts w:ascii="Times New Roman" w:hAnsi="Times New Roman" w:cs="Times New Roman"/>
          <w:color w:val="auto"/>
        </w:rPr>
        <w:t>8.5 Campos preliminares de elementos_rastreados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9"/>
        <w:gridCol w:w="1962"/>
        <w:gridCol w:w="4809"/>
      </w:tblGrid>
      <w:tr w:rsidR="00CE2DA2" w:rsidRPr="00317AA7" w14:paraId="3C9AF99D" w14:textId="77777777">
        <w:trPr>
          <w:tblHeader/>
        </w:trPr>
        <w:tc>
          <w:tcPr>
            <w:tcW w:w="2600" w:type="dxa"/>
            <w:shd w:val="clear" w:color="auto" w:fill="D9E2F3"/>
            <w:tcMar>
              <w:top w:w="60" w:type="dxa"/>
              <w:left w:w="100" w:type="dxa"/>
              <w:bottom w:w="60" w:type="dxa"/>
              <w:right w:w="100" w:type="dxa"/>
            </w:tcMar>
          </w:tcPr>
          <w:p w14:paraId="515F308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w:t>
            </w:r>
          </w:p>
        </w:tc>
        <w:tc>
          <w:tcPr>
            <w:tcW w:w="1800" w:type="dxa"/>
            <w:shd w:val="clear" w:color="auto" w:fill="D9E2F3"/>
            <w:tcMar>
              <w:top w:w="60" w:type="dxa"/>
              <w:left w:w="100" w:type="dxa"/>
              <w:bottom w:w="60" w:type="dxa"/>
              <w:right w:w="100" w:type="dxa"/>
            </w:tcMar>
          </w:tcPr>
          <w:p w14:paraId="4BD5F8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6AAAFC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0B20D0A6" w14:textId="77777777">
        <w:trPr>
          <w:tblHeader/>
        </w:trPr>
        <w:tc>
          <w:tcPr>
            <w:tcW w:w="2600" w:type="dxa"/>
            <w:shd w:val="clear" w:color="auto" w:fill="D9E2F3"/>
            <w:tcMar>
              <w:top w:w="60" w:type="dxa"/>
              <w:left w:w="100" w:type="dxa"/>
              <w:bottom w:w="60" w:type="dxa"/>
              <w:right w:w="100" w:type="dxa"/>
            </w:tcMar>
          </w:tcPr>
          <w:p w14:paraId="2066CCE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id</w:t>
            </w:r>
          </w:p>
        </w:tc>
        <w:tc>
          <w:tcPr>
            <w:tcW w:w="1800" w:type="dxa"/>
            <w:shd w:val="clear" w:color="auto" w:fill="D9E2F3"/>
            <w:tcMar>
              <w:top w:w="60" w:type="dxa"/>
              <w:left w:w="100" w:type="dxa"/>
              <w:bottom w:w="60" w:type="dxa"/>
              <w:right w:w="100" w:type="dxa"/>
            </w:tcMar>
          </w:tcPr>
          <w:p w14:paraId="22CED39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BIGSERIAL</w:t>
            </w:r>
          </w:p>
        </w:tc>
        <w:tc>
          <w:tcPr>
            <w:tcW w:w="4960" w:type="dxa"/>
            <w:shd w:val="clear" w:color="auto" w:fill="D9E2F3"/>
            <w:tcMar>
              <w:top w:w="60" w:type="dxa"/>
              <w:left w:w="100" w:type="dxa"/>
              <w:bottom w:w="60" w:type="dxa"/>
              <w:right w:w="100" w:type="dxa"/>
            </w:tcMar>
          </w:tcPr>
          <w:p w14:paraId="739736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Identificador del elemento rastreado.</w:t>
            </w:r>
          </w:p>
        </w:tc>
      </w:tr>
      <w:tr w:rsidR="00CE2DA2" w:rsidRPr="00317AA7" w14:paraId="5F06CA02" w14:textId="77777777">
        <w:trPr>
          <w:tblHeader/>
        </w:trPr>
        <w:tc>
          <w:tcPr>
            <w:tcW w:w="2600" w:type="dxa"/>
            <w:shd w:val="clear" w:color="auto" w:fill="D9E2F3"/>
            <w:tcMar>
              <w:top w:w="60" w:type="dxa"/>
              <w:left w:w="100" w:type="dxa"/>
              <w:bottom w:w="60" w:type="dxa"/>
              <w:right w:w="100" w:type="dxa"/>
            </w:tcMar>
          </w:tcPr>
          <w:p w14:paraId="04F116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tipo_tracking_externo</w:t>
            </w:r>
          </w:p>
        </w:tc>
        <w:tc>
          <w:tcPr>
            <w:tcW w:w="1800" w:type="dxa"/>
            <w:shd w:val="clear" w:color="auto" w:fill="D9E2F3"/>
            <w:tcMar>
              <w:top w:w="60" w:type="dxa"/>
              <w:left w:w="100" w:type="dxa"/>
              <w:bottom w:w="60" w:type="dxa"/>
              <w:right w:w="100" w:type="dxa"/>
            </w:tcMar>
          </w:tcPr>
          <w:p w14:paraId="2FF1189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4F49D8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MMSI, IMO, nombre de buque, vuelo, AWB, contenedor o booking.</w:t>
            </w:r>
          </w:p>
        </w:tc>
      </w:tr>
      <w:tr w:rsidR="00CE2DA2" w:rsidRPr="00317AA7" w14:paraId="50BD3EA7" w14:textId="77777777">
        <w:trPr>
          <w:tblHeader/>
        </w:trPr>
        <w:tc>
          <w:tcPr>
            <w:tcW w:w="2600" w:type="dxa"/>
            <w:shd w:val="clear" w:color="auto" w:fill="D9E2F3"/>
            <w:tcMar>
              <w:top w:w="60" w:type="dxa"/>
              <w:left w:w="100" w:type="dxa"/>
              <w:bottom w:w="60" w:type="dxa"/>
              <w:right w:w="100" w:type="dxa"/>
            </w:tcMar>
          </w:tcPr>
          <w:p w14:paraId="22808E9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tracking_externo</w:t>
            </w:r>
          </w:p>
        </w:tc>
        <w:tc>
          <w:tcPr>
            <w:tcW w:w="1800" w:type="dxa"/>
            <w:shd w:val="clear" w:color="auto" w:fill="D9E2F3"/>
            <w:tcMar>
              <w:top w:w="60" w:type="dxa"/>
              <w:left w:w="100" w:type="dxa"/>
              <w:bottom w:w="60" w:type="dxa"/>
              <w:right w:w="100" w:type="dxa"/>
            </w:tcMar>
          </w:tcPr>
          <w:p w14:paraId="38E9EA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00C2EA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Valor del identificador externo.</w:t>
            </w:r>
          </w:p>
        </w:tc>
      </w:tr>
      <w:tr w:rsidR="00CE2DA2" w:rsidRPr="00317AA7" w14:paraId="371B7392" w14:textId="77777777">
        <w:trPr>
          <w:tblHeader/>
        </w:trPr>
        <w:tc>
          <w:tcPr>
            <w:tcW w:w="2600" w:type="dxa"/>
            <w:shd w:val="clear" w:color="auto" w:fill="D9E2F3"/>
            <w:tcMar>
              <w:top w:w="60" w:type="dxa"/>
              <w:left w:w="100" w:type="dxa"/>
              <w:bottom w:w="60" w:type="dxa"/>
              <w:right w:w="100" w:type="dxa"/>
            </w:tcMar>
          </w:tcPr>
          <w:p w14:paraId="0719719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via_transporte</w:t>
            </w:r>
          </w:p>
        </w:tc>
        <w:tc>
          <w:tcPr>
            <w:tcW w:w="1800" w:type="dxa"/>
            <w:shd w:val="clear" w:color="auto" w:fill="D9E2F3"/>
            <w:tcMar>
              <w:top w:w="60" w:type="dxa"/>
              <w:left w:w="100" w:type="dxa"/>
              <w:bottom w:w="60" w:type="dxa"/>
              <w:right w:w="100" w:type="dxa"/>
            </w:tcMar>
          </w:tcPr>
          <w:p w14:paraId="7627D33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70DF06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Aéreo o marítimo.</w:t>
            </w:r>
          </w:p>
        </w:tc>
      </w:tr>
      <w:tr w:rsidR="00CE2DA2" w:rsidRPr="00317AA7" w14:paraId="5DAC8356" w14:textId="77777777">
        <w:trPr>
          <w:tblHeader/>
        </w:trPr>
        <w:tc>
          <w:tcPr>
            <w:tcW w:w="2600" w:type="dxa"/>
            <w:shd w:val="clear" w:color="auto" w:fill="D9E2F3"/>
            <w:tcMar>
              <w:top w:w="60" w:type="dxa"/>
              <w:left w:w="100" w:type="dxa"/>
              <w:bottom w:w="60" w:type="dxa"/>
              <w:right w:w="100" w:type="dxa"/>
            </w:tcMar>
          </w:tcPr>
          <w:p w14:paraId="332D7E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tramo</w:t>
            </w:r>
          </w:p>
        </w:tc>
        <w:tc>
          <w:tcPr>
            <w:tcW w:w="1800" w:type="dxa"/>
            <w:shd w:val="clear" w:color="auto" w:fill="D9E2F3"/>
            <w:tcMar>
              <w:top w:w="60" w:type="dxa"/>
              <w:left w:w="100" w:type="dxa"/>
              <w:bottom w:w="60" w:type="dxa"/>
              <w:right w:w="100" w:type="dxa"/>
            </w:tcMar>
          </w:tcPr>
          <w:p w14:paraId="73526C9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INTEGER</w:t>
            </w:r>
          </w:p>
        </w:tc>
        <w:tc>
          <w:tcPr>
            <w:tcW w:w="4960" w:type="dxa"/>
            <w:shd w:val="clear" w:color="auto" w:fill="D9E2F3"/>
            <w:tcMar>
              <w:top w:w="60" w:type="dxa"/>
              <w:left w:w="100" w:type="dxa"/>
              <w:bottom w:w="60" w:type="dxa"/>
              <w:right w:w="100" w:type="dxa"/>
            </w:tcMar>
          </w:tcPr>
          <w:p w14:paraId="3C1DC8C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Número de tramo del viaje. Se incrementa ante cada transbordo (RF-26).</w:t>
            </w:r>
          </w:p>
        </w:tc>
      </w:tr>
      <w:tr w:rsidR="00CE2DA2" w:rsidRPr="00317AA7" w14:paraId="04F0AF14" w14:textId="77777777">
        <w:trPr>
          <w:tblHeader/>
        </w:trPr>
        <w:tc>
          <w:tcPr>
            <w:tcW w:w="2600" w:type="dxa"/>
            <w:shd w:val="clear" w:color="auto" w:fill="D9E2F3"/>
            <w:tcMar>
              <w:top w:w="60" w:type="dxa"/>
              <w:left w:w="100" w:type="dxa"/>
              <w:bottom w:w="60" w:type="dxa"/>
              <w:right w:w="100" w:type="dxa"/>
            </w:tcMar>
          </w:tcPr>
          <w:p w14:paraId="3E375C8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eta_api</w:t>
            </w:r>
          </w:p>
        </w:tc>
        <w:tc>
          <w:tcPr>
            <w:tcW w:w="1800" w:type="dxa"/>
            <w:shd w:val="clear" w:color="auto" w:fill="D9E2F3"/>
            <w:tcMar>
              <w:top w:w="60" w:type="dxa"/>
              <w:left w:w="100" w:type="dxa"/>
              <w:bottom w:w="60" w:type="dxa"/>
              <w:right w:w="100" w:type="dxa"/>
            </w:tcMar>
          </w:tcPr>
          <w:p w14:paraId="6CE64CA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5A18D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estimada de llegada reportada por la API.</w:t>
            </w:r>
          </w:p>
        </w:tc>
      </w:tr>
      <w:tr w:rsidR="00CE2DA2" w:rsidRPr="00317AA7" w14:paraId="1E19912E" w14:textId="77777777">
        <w:trPr>
          <w:tblHeader/>
        </w:trPr>
        <w:tc>
          <w:tcPr>
            <w:tcW w:w="2600" w:type="dxa"/>
            <w:shd w:val="clear" w:color="auto" w:fill="D9E2F3"/>
            <w:tcMar>
              <w:top w:w="60" w:type="dxa"/>
              <w:left w:w="100" w:type="dxa"/>
              <w:bottom w:w="60" w:type="dxa"/>
              <w:right w:w="100" w:type="dxa"/>
            </w:tcMar>
          </w:tcPr>
          <w:p w14:paraId="207937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ata_api</w:t>
            </w:r>
          </w:p>
        </w:tc>
        <w:tc>
          <w:tcPr>
            <w:tcW w:w="1800" w:type="dxa"/>
            <w:shd w:val="clear" w:color="auto" w:fill="D9E2F3"/>
            <w:tcMar>
              <w:top w:w="60" w:type="dxa"/>
              <w:left w:w="100" w:type="dxa"/>
              <w:bottom w:w="60" w:type="dxa"/>
              <w:right w:w="100" w:type="dxa"/>
            </w:tcMar>
          </w:tcPr>
          <w:p w14:paraId="654A94A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7935C02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real de llegada reportada por la API, si existe.</w:t>
            </w:r>
          </w:p>
        </w:tc>
      </w:tr>
      <w:tr w:rsidR="00CE2DA2" w:rsidRPr="00317AA7" w14:paraId="29E37A0A" w14:textId="77777777">
        <w:trPr>
          <w:tblHeader/>
        </w:trPr>
        <w:tc>
          <w:tcPr>
            <w:tcW w:w="2600" w:type="dxa"/>
            <w:shd w:val="clear" w:color="auto" w:fill="D9E2F3"/>
            <w:tcMar>
              <w:top w:w="60" w:type="dxa"/>
              <w:left w:w="100" w:type="dxa"/>
              <w:bottom w:w="60" w:type="dxa"/>
              <w:right w:w="100" w:type="dxa"/>
            </w:tcMar>
          </w:tcPr>
          <w:p w14:paraId="55E352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posicion_actual</w:t>
            </w:r>
          </w:p>
        </w:tc>
        <w:tc>
          <w:tcPr>
            <w:tcW w:w="1800" w:type="dxa"/>
            <w:shd w:val="clear" w:color="auto" w:fill="D9E2F3"/>
            <w:tcMar>
              <w:top w:w="60" w:type="dxa"/>
              <w:left w:w="100" w:type="dxa"/>
              <w:bottom w:w="60" w:type="dxa"/>
              <w:right w:w="100" w:type="dxa"/>
            </w:tcMar>
          </w:tcPr>
          <w:p w14:paraId="0CE77C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GEOMETRY(Point, 4326)</w:t>
            </w:r>
          </w:p>
        </w:tc>
        <w:tc>
          <w:tcPr>
            <w:tcW w:w="4960" w:type="dxa"/>
            <w:shd w:val="clear" w:color="auto" w:fill="D9E2F3"/>
            <w:tcMar>
              <w:top w:w="60" w:type="dxa"/>
              <w:left w:w="100" w:type="dxa"/>
              <w:bottom w:w="60" w:type="dxa"/>
              <w:right w:w="100" w:type="dxa"/>
            </w:tcMar>
          </w:tcPr>
          <w:p w14:paraId="27ACC3E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Última posición conocida, en el sistema de referencia WGS 84.</w:t>
            </w:r>
          </w:p>
        </w:tc>
      </w:tr>
      <w:tr w:rsidR="00CE2DA2" w:rsidRPr="00317AA7" w14:paraId="16F44081" w14:textId="77777777">
        <w:trPr>
          <w:tblHeader/>
        </w:trPr>
        <w:tc>
          <w:tcPr>
            <w:tcW w:w="2600" w:type="dxa"/>
            <w:shd w:val="clear" w:color="auto" w:fill="D9E2F3"/>
            <w:tcMar>
              <w:top w:w="60" w:type="dxa"/>
              <w:left w:w="100" w:type="dxa"/>
              <w:bottom w:w="60" w:type="dxa"/>
              <w:right w:w="100" w:type="dxa"/>
            </w:tcMar>
          </w:tcPr>
          <w:p w14:paraId="16CD894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ultima_actualizacion_api</w:t>
            </w:r>
          </w:p>
        </w:tc>
        <w:tc>
          <w:tcPr>
            <w:tcW w:w="1800" w:type="dxa"/>
            <w:shd w:val="clear" w:color="auto" w:fill="D9E2F3"/>
            <w:tcMar>
              <w:top w:w="60" w:type="dxa"/>
              <w:left w:w="100" w:type="dxa"/>
              <w:bottom w:w="60" w:type="dxa"/>
              <w:right w:w="100" w:type="dxa"/>
            </w:tcMar>
          </w:tcPr>
          <w:p w14:paraId="66194D9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73C2E5B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y hora de la última consulta exitosa.</w:t>
            </w:r>
          </w:p>
        </w:tc>
      </w:tr>
      <w:tr w:rsidR="00CE2DA2" w:rsidRPr="00317AA7" w14:paraId="1A4D9066" w14:textId="77777777">
        <w:trPr>
          <w:tblHeader/>
        </w:trPr>
        <w:tc>
          <w:tcPr>
            <w:tcW w:w="2600" w:type="dxa"/>
            <w:shd w:val="clear" w:color="auto" w:fill="D9E2F3"/>
            <w:tcMar>
              <w:top w:w="60" w:type="dxa"/>
              <w:left w:w="100" w:type="dxa"/>
              <w:bottom w:w="60" w:type="dxa"/>
              <w:right w:w="100" w:type="dxa"/>
            </w:tcMar>
          </w:tcPr>
          <w:p w14:paraId="335B5B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activo</w:t>
            </w:r>
          </w:p>
        </w:tc>
        <w:tc>
          <w:tcPr>
            <w:tcW w:w="1800" w:type="dxa"/>
            <w:shd w:val="clear" w:color="auto" w:fill="D9E2F3"/>
            <w:tcMar>
              <w:top w:w="60" w:type="dxa"/>
              <w:left w:w="100" w:type="dxa"/>
              <w:bottom w:w="60" w:type="dxa"/>
              <w:right w:w="100" w:type="dxa"/>
            </w:tcMar>
          </w:tcPr>
          <w:p w14:paraId="52C762B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BOOLEAN</w:t>
            </w:r>
          </w:p>
        </w:tc>
        <w:tc>
          <w:tcPr>
            <w:tcW w:w="4960" w:type="dxa"/>
            <w:shd w:val="clear" w:color="auto" w:fill="D9E2F3"/>
            <w:tcMar>
              <w:top w:w="60" w:type="dxa"/>
              <w:left w:w="100" w:type="dxa"/>
              <w:bottom w:w="60" w:type="dxa"/>
              <w:right w:w="100" w:type="dxa"/>
            </w:tcMar>
          </w:tcPr>
          <w:p w14:paraId="4621D0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Indica si el elemento sigue siendo objeto de rastreo automático.</w:t>
            </w:r>
          </w:p>
        </w:tc>
      </w:tr>
    </w:tbl>
    <w:p w14:paraId="0445ABB3" w14:textId="77777777" w:rsidR="00CE2DA2" w:rsidRPr="00317AA7" w:rsidRDefault="00D91203">
      <w:pPr>
        <w:pStyle w:val="Ttulo2"/>
        <w:rPr>
          <w:rFonts w:ascii="Times New Roman" w:hAnsi="Times New Roman" w:cs="Times New Roman"/>
          <w:color w:val="auto"/>
        </w:rPr>
      </w:pPr>
      <w:bookmarkStart w:id="43" w:name="_Toc237262866"/>
      <w:r>
        <w:rPr>
          <w:rFonts w:ascii="Times New Roman" w:hAnsi="Times New Roman" w:cs="Times New Roman"/>
          <w:color w:val="auto"/>
        </w:rPr>
        <w:t>8.6 Consideraciones geoespaciales</w:t>
      </w:r>
      <w:bookmarkEnd w:id="43"/>
    </w:p>
    <w:p w14:paraId="7FD8B336"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almacenamiento de latitud y longitud como valores numéricos independientes, tal como propone el documento técnico-funcional, resulta insuficiente para las consultas espaciales que exige el Objetivo Específico 4. Se propone incorporar una columna de tipo geometría de PostGIS, con sistema de referencia WGS 84, que permita calcular distancias, reconstruir trayectos y determinar la proximidad a un destino mediante operadores espaciales nativos.</w:t>
      </w:r>
    </w:p>
    <w:p w14:paraId="37601FDF"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lastRenderedPageBreak/>
        <w:t>El supervisor de empresa confirmó que varias líneas de una misma orden de compra pueden viajar en un mismo buque; el caso habitual descrito es el de cinco líneas de una misma compra que llegan en el mismo barco y que el usuario percibe como un único elemento en el mapa. La relación entre pedido y elemento rastreado es por tanto de muchos a uno, y se resuelve mediante la entidad elementos_rastreados de la sección 8.1. Los transbordos se modelan como tramos sucesivos de esa misma entidad.</w:t>
      </w:r>
    </w:p>
    <w:p w14:paraId="7DB36E39" w14:textId="77777777" w:rsidR="00CE2DA2" w:rsidRPr="00317AA7" w:rsidRDefault="00D91203">
      <w:pPr>
        <w:pStyle w:val="Ttulo1"/>
        <w:pageBreakBefore/>
        <w:rPr>
          <w:rFonts w:ascii="Times New Roman" w:hAnsi="Times New Roman" w:cs="Times New Roman"/>
          <w:color w:val="auto"/>
        </w:rPr>
      </w:pPr>
      <w:bookmarkStart w:id="44" w:name="_Toc237262867"/>
      <w:r>
        <w:rPr>
          <w:rFonts w:ascii="Times New Roman" w:hAnsi="Times New Roman" w:cs="Times New Roman"/>
          <w:color w:val="auto"/>
        </w:rPr>
        <w:lastRenderedPageBreak/>
        <w:t>9. Restricciones y supuestos del proyecto</w:t>
      </w:r>
      <w:bookmarkEnd w:id="44"/>
    </w:p>
    <w:p w14:paraId="67987418" w14:textId="77777777" w:rsidR="00CE2DA2" w:rsidRPr="00317AA7" w:rsidRDefault="00D91203">
      <w:pPr>
        <w:pStyle w:val="Ttulo2"/>
        <w:rPr>
          <w:rFonts w:ascii="Times New Roman" w:hAnsi="Times New Roman" w:cs="Times New Roman"/>
          <w:color w:val="auto"/>
        </w:rPr>
      </w:pPr>
      <w:bookmarkStart w:id="45" w:name="_Toc237262868"/>
      <w:r>
        <w:rPr>
          <w:rFonts w:ascii="Times New Roman" w:hAnsi="Times New Roman" w:cs="Times New Roman"/>
          <w:color w:val="auto"/>
        </w:rPr>
        <w:t>9.1 Restricciones de alcance</w:t>
      </w:r>
      <w:bookmarkEnd w:id="45"/>
    </w:p>
    <w:p w14:paraId="5EAAB26E"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alcance queda delimitado por el anteproyecto aprobado. La sección 1.2.2 de este documento enumera las exclusiones explícitas. La restricción de mayor impacto sobre el diseño es que el sistema no se desplegará en producción dentro de la práctica, lo que traslada al Centro de Competencias la responsabilidad del despliegue posterior y eleva la importancia de la documentación técnica como entregable.</w:t>
      </w:r>
    </w:p>
    <w:p w14:paraId="558C0D83" w14:textId="77777777" w:rsidR="00CE2DA2" w:rsidRPr="00317AA7" w:rsidRDefault="00D91203">
      <w:pPr>
        <w:pStyle w:val="Ttulo2"/>
        <w:rPr>
          <w:rFonts w:ascii="Times New Roman" w:hAnsi="Times New Roman" w:cs="Times New Roman"/>
          <w:color w:val="auto"/>
        </w:rPr>
      </w:pPr>
      <w:bookmarkStart w:id="46" w:name="_Toc237262869"/>
      <w:r>
        <w:rPr>
          <w:rFonts w:ascii="Times New Roman" w:hAnsi="Times New Roman" w:cs="Times New Roman"/>
          <w:color w:val="auto"/>
        </w:rPr>
        <w:t>9.2 Restricciones de tiempo</w:t>
      </w:r>
      <w:bookmarkEnd w:id="46"/>
    </w:p>
    <w:p w14:paraId="78EF357A"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proyecto dispone de dieciséis semanas, del 3 de agosto al 21 de noviembre de 2026, con posibilidad de extensión de dos semanas adicionales hasta el 5 de diciembre de 2026. La distribución comprende una semana de inducción, siete sprints de dos semanas bajo metodología Scrum y una semana de cierre. Este documento corresponde al entregable del Sprint 1, cuyo cierre está previsto para el 21 de agosto de 2026.</w:t>
      </w:r>
    </w:p>
    <w:p w14:paraId="0BE36FD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restricción temporal condiciona la priorización de los requerimientos: aquellos marcados con prioridad Baja son los primeros candidatos a posponerse si el cronograma se comprime.</w:t>
      </w:r>
    </w:p>
    <w:p w14:paraId="2F45B7B6" w14:textId="77777777" w:rsidR="00CE2DA2" w:rsidRPr="00317AA7" w:rsidRDefault="00D91203">
      <w:pPr>
        <w:pStyle w:val="Ttulo2"/>
        <w:rPr>
          <w:rFonts w:ascii="Times New Roman" w:hAnsi="Times New Roman" w:cs="Times New Roman"/>
          <w:color w:val="auto"/>
        </w:rPr>
      </w:pPr>
      <w:bookmarkStart w:id="47" w:name="_Toc237262870"/>
      <w:r>
        <w:rPr>
          <w:rFonts w:ascii="Times New Roman" w:hAnsi="Times New Roman" w:cs="Times New Roman"/>
          <w:color w:val="auto"/>
        </w:rPr>
        <w:t>9.3 Restricciones tecnológicas</w:t>
      </w:r>
      <w:bookmarkEnd w:id="47"/>
    </w:p>
    <w:p w14:paraId="20A59497"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stack tecnológico está fijado por el anteproyecto y se detalla en la sección 5.8. No es objeto de decisión durante la práctica. Existe una desviación conocida respecto de lo previsto: el anteproyecto contempla la ejecución del entorno de desarrollo mediante contenedores Docker, lo cual no es posible en el equipo asignado al practicante por carecer de permisos administrativos para habilitar la virtualización requerida. El supervisor de empresa confirmó durante el levantamiento de requerimientos que prescindir de contenedores es aceptable. El entorno se levanta de forma nativa y los archivos de contenedor se conservan como artefacto para el despliegue en servidor.</w:t>
      </w:r>
    </w:p>
    <w:p w14:paraId="0B4225AC" w14:textId="77777777" w:rsidR="00CE2DA2" w:rsidRPr="00317AA7" w:rsidRDefault="00D91203">
      <w:pPr>
        <w:pStyle w:val="Ttulo2"/>
        <w:rPr>
          <w:rFonts w:ascii="Times New Roman" w:hAnsi="Times New Roman" w:cs="Times New Roman"/>
          <w:color w:val="auto"/>
        </w:rPr>
      </w:pPr>
      <w:bookmarkStart w:id="48" w:name="_Toc237262871"/>
      <w:r>
        <w:rPr>
          <w:rFonts w:ascii="Times New Roman" w:hAnsi="Times New Roman" w:cs="Times New Roman"/>
          <w:color w:val="auto"/>
        </w:rPr>
        <w:t>9.4 Supuestos sobre datos, accesos y usuarios</w:t>
      </w:r>
      <w:bookmarkEnd w:id="48"/>
    </w:p>
    <w:p w14:paraId="03ABEF8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el Centro de Competencias entregará la especificación y un entorno de pruebas del servicio API de SAP antes del inicio del Sprint 3.</w:t>
      </w:r>
    </w:p>
    <w:p w14:paraId="7611092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existe, para una fracción operativamente significativa de los pedidos, el identificador de nave o vuelo necesario para el rastreo automático.</w:t>
      </w:r>
    </w:p>
    <w:p w14:paraId="0698E15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los usuarios clave de Compras y Logística estarán disponibles para las sesiones de levantamiento, validación de prototipos y pruebas de aceptación.</w:t>
      </w:r>
    </w:p>
    <w:p w14:paraId="320A1EE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se dispondrá de credenciales válidas para AISStream y OpenSky Network durante todo el período de desarrollo.</w:t>
      </w:r>
    </w:p>
    <w:p w14:paraId="4A2FE7D2" w14:textId="4A67339C" w:rsidR="00CE2DA2" w:rsidRPr="00096375" w:rsidRDefault="00D91203" w:rsidP="00096375">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la conectividad de red del entorno de desarrollo permitirá alcanzar los servicios externos de rastreo.</w:t>
      </w:r>
    </w:p>
    <w:p w14:paraId="2ADD4419" w14:textId="77777777" w:rsidR="00CE2DA2" w:rsidRPr="00317AA7" w:rsidRDefault="00D91203">
      <w:pPr>
        <w:pStyle w:val="Ttulo1"/>
        <w:pageBreakBefore/>
        <w:rPr>
          <w:rFonts w:ascii="Times New Roman" w:hAnsi="Times New Roman" w:cs="Times New Roman"/>
          <w:color w:val="auto"/>
        </w:rPr>
      </w:pPr>
      <w:bookmarkStart w:id="49" w:name="_Toc237262872"/>
      <w:r>
        <w:rPr>
          <w:rFonts w:ascii="Times New Roman" w:hAnsi="Times New Roman" w:cs="Times New Roman"/>
          <w:color w:val="auto"/>
        </w:rPr>
        <w:lastRenderedPageBreak/>
        <w:t>10. Criterios de aceptación general</w:t>
      </w:r>
      <w:bookmarkEnd w:id="49"/>
    </w:p>
    <w:p w14:paraId="058A40A3"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Los criterios se organizan según los cuatro entregables principales definidos en la sección 9.3 del anteproyecto. Cada entregable se considera aceptado cuando satisface la totalidad de sus criterios y cuenta con la aprobación del supervisor de empresa.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560"/>
        <w:gridCol w:w="1700"/>
      </w:tblGrid>
      <w:tr w:rsidR="00CE2DA2" w:rsidRPr="00317AA7" w14:paraId="3FA616DB" w14:textId="77777777">
        <w:trPr>
          <w:tblHeader/>
        </w:trPr>
        <w:tc>
          <w:tcPr>
            <w:tcW w:w="2100" w:type="dxa"/>
            <w:shd w:val="clear" w:color="auto" w:fill="D9E2F3"/>
            <w:tcMar>
              <w:top w:w="60" w:type="dxa"/>
              <w:left w:w="100" w:type="dxa"/>
              <w:bottom w:w="60" w:type="dxa"/>
              <w:right w:w="100" w:type="dxa"/>
            </w:tcMar>
          </w:tcPr>
          <w:p w14:paraId="23DE609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Entregable</w:t>
            </w:r>
          </w:p>
        </w:tc>
        <w:tc>
          <w:tcPr>
            <w:tcW w:w="5560" w:type="dxa"/>
            <w:shd w:val="clear" w:color="auto" w:fill="D9E2F3"/>
            <w:tcMar>
              <w:top w:w="60" w:type="dxa"/>
              <w:left w:w="100" w:type="dxa"/>
              <w:bottom w:w="60" w:type="dxa"/>
              <w:right w:w="100" w:type="dxa"/>
            </w:tcMar>
          </w:tcPr>
          <w:p w14:paraId="252D581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Criterio de aceptación</w:t>
            </w:r>
          </w:p>
        </w:tc>
        <w:tc>
          <w:tcPr>
            <w:tcW w:w="1700" w:type="dxa"/>
            <w:shd w:val="clear" w:color="auto" w:fill="D9E2F3"/>
            <w:tcMar>
              <w:top w:w="60" w:type="dxa"/>
              <w:left w:w="100" w:type="dxa"/>
              <w:bottom w:w="60" w:type="dxa"/>
              <w:right w:w="100" w:type="dxa"/>
            </w:tcMar>
          </w:tcPr>
          <w:p w14:paraId="5799BAF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w:t>
            </w:r>
          </w:p>
        </w:tc>
      </w:tr>
      <w:tr w:rsidR="00CE2DA2" w:rsidRPr="00317AA7" w14:paraId="51750E00" w14:textId="77777777">
        <w:tc>
          <w:tcPr>
            <w:tcW w:w="2100" w:type="dxa"/>
            <w:tcMar>
              <w:top w:w="60" w:type="dxa"/>
              <w:left w:w="100" w:type="dxa"/>
              <w:bottom w:w="60" w:type="dxa"/>
              <w:right w:w="100" w:type="dxa"/>
            </w:tcMar>
          </w:tcPr>
          <w:p w14:paraId="61C79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 Análisis y diseño</w:t>
            </w:r>
          </w:p>
        </w:tc>
        <w:tc>
          <w:tcPr>
            <w:tcW w:w="5560" w:type="dxa"/>
            <w:tcMar>
              <w:top w:w="60" w:type="dxa"/>
              <w:left w:w="100" w:type="dxa"/>
              <w:bottom w:w="60" w:type="dxa"/>
              <w:right w:w="100" w:type="dxa"/>
            </w:tcMar>
          </w:tcPr>
          <w:p w14:paraId="422531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Documentos de requerimientos, modelo de datos, arquitectura y prototipos de interfaz revisados y aprobados por el supervisor de empresa y los usuarios clave.</w:t>
            </w:r>
          </w:p>
        </w:tc>
        <w:tc>
          <w:tcPr>
            <w:tcW w:w="1700" w:type="dxa"/>
            <w:tcMar>
              <w:top w:w="60" w:type="dxa"/>
              <w:left w:w="100" w:type="dxa"/>
              <w:bottom w:w="60" w:type="dxa"/>
              <w:right w:w="100" w:type="dxa"/>
            </w:tcMar>
          </w:tcPr>
          <w:p w14:paraId="27FA896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OE1</w:t>
            </w:r>
          </w:p>
        </w:tc>
      </w:tr>
      <w:tr w:rsidR="00CE2DA2" w:rsidRPr="00317AA7" w14:paraId="2DF54E9E" w14:textId="77777777">
        <w:tc>
          <w:tcPr>
            <w:tcW w:w="2100" w:type="dxa"/>
            <w:tcMar>
              <w:top w:w="60" w:type="dxa"/>
              <w:left w:w="100" w:type="dxa"/>
              <w:bottom w:w="60" w:type="dxa"/>
              <w:right w:w="100" w:type="dxa"/>
            </w:tcMar>
          </w:tcPr>
          <w:p w14:paraId="12A705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 Backend y APIs</w:t>
            </w:r>
          </w:p>
        </w:tc>
        <w:tc>
          <w:tcPr>
            <w:tcW w:w="5560" w:type="dxa"/>
            <w:tcMar>
              <w:top w:w="60" w:type="dxa"/>
              <w:left w:w="100" w:type="dxa"/>
              <w:bottom w:w="60" w:type="dxa"/>
              <w:right w:w="100" w:type="dxa"/>
            </w:tcMar>
          </w:tcPr>
          <w:p w14:paraId="2C9BD6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Servicios REST funcionales y documentados en OpenAPI. Sincronización de pedidos con SAP operativa. Datos de tracking obtenidos correctamente de las APIs externas. Estados calculados conforme a las reglas de la sección 7 de este documento.</w:t>
            </w:r>
          </w:p>
        </w:tc>
        <w:tc>
          <w:tcPr>
            <w:tcW w:w="1700" w:type="dxa"/>
            <w:tcMar>
              <w:top w:w="60" w:type="dxa"/>
              <w:left w:w="100" w:type="dxa"/>
              <w:bottom w:w="60" w:type="dxa"/>
              <w:right w:w="100" w:type="dxa"/>
            </w:tcMar>
          </w:tcPr>
          <w:p w14:paraId="71859D6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r w:rsidR="00CE2DA2" w:rsidRPr="00317AA7" w14:paraId="4281C790" w14:textId="77777777">
        <w:tc>
          <w:tcPr>
            <w:tcW w:w="2100" w:type="dxa"/>
            <w:tcMar>
              <w:top w:w="60" w:type="dxa"/>
              <w:left w:w="100" w:type="dxa"/>
              <w:bottom w:w="60" w:type="dxa"/>
              <w:right w:w="100" w:type="dxa"/>
            </w:tcMar>
          </w:tcPr>
          <w:p w14:paraId="36D5CC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 Frontend y dashboard</w:t>
            </w:r>
          </w:p>
        </w:tc>
        <w:tc>
          <w:tcPr>
            <w:tcW w:w="5560" w:type="dxa"/>
            <w:tcMar>
              <w:top w:w="60" w:type="dxa"/>
              <w:left w:w="100" w:type="dxa"/>
              <w:bottom w:w="60" w:type="dxa"/>
              <w:right w:w="100" w:type="dxa"/>
            </w:tcMar>
          </w:tcPr>
          <w:p w14:paraId="4305DC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Dashboard funcional accesible en entorno local. Marcadores en mapa coloreados según estado. Filtros operativos sobre KPIs, grilla y mapas de forma coherente.</w:t>
            </w:r>
          </w:p>
        </w:tc>
        <w:tc>
          <w:tcPr>
            <w:tcW w:w="1700" w:type="dxa"/>
            <w:tcMar>
              <w:top w:w="60" w:type="dxa"/>
              <w:left w:w="100" w:type="dxa"/>
              <w:bottom w:w="60" w:type="dxa"/>
              <w:right w:w="100" w:type="dxa"/>
            </w:tcMar>
          </w:tcPr>
          <w:p w14:paraId="52E1FB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r w:rsidR="00CE2DA2" w:rsidRPr="00317AA7" w14:paraId="624B23F1" w14:textId="77777777">
        <w:tc>
          <w:tcPr>
            <w:tcW w:w="2100" w:type="dxa"/>
            <w:tcMar>
              <w:top w:w="60" w:type="dxa"/>
              <w:left w:w="100" w:type="dxa"/>
              <w:bottom w:w="60" w:type="dxa"/>
              <w:right w:w="100" w:type="dxa"/>
            </w:tcMar>
          </w:tcPr>
          <w:p w14:paraId="07D1A8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4. Base de datos y documentación</w:t>
            </w:r>
          </w:p>
        </w:tc>
        <w:tc>
          <w:tcPr>
            <w:tcW w:w="5560" w:type="dxa"/>
            <w:tcMar>
              <w:top w:w="60" w:type="dxa"/>
              <w:left w:w="100" w:type="dxa"/>
              <w:bottom w:w="60" w:type="dxa"/>
              <w:right w:w="100" w:type="dxa"/>
            </w:tcMar>
          </w:tcPr>
          <w:p w14:paraId="1134FB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Datos persistidos correctamente. Consultas geoespaciales operativas. Historial auditable. Manual técnico, manual de usuario y guía de despliegue entregados y aprobados.</w:t>
            </w:r>
          </w:p>
        </w:tc>
        <w:tc>
          <w:tcPr>
            <w:tcW w:w="1700" w:type="dxa"/>
            <w:tcMar>
              <w:top w:w="60" w:type="dxa"/>
              <w:left w:w="100" w:type="dxa"/>
              <w:bottom w:w="60" w:type="dxa"/>
              <w:right w:w="100" w:type="dxa"/>
            </w:tcMar>
          </w:tcPr>
          <w:p w14:paraId="38AD0F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77AEB5E1" w14:textId="77777777" w:rsidR="00CE2DA2" w:rsidRPr="00317AA7" w:rsidRDefault="00CE2DA2">
      <w:pPr>
        <w:rPr>
          <w:rFonts w:ascii="Times New Roman" w:hAnsi="Times New Roman" w:cs="Times New Roman"/>
          <w:color w:val="auto"/>
        </w:rPr>
      </w:pPr>
    </w:p>
    <w:p w14:paraId="0484771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Adicionalmente, se considerarán criterios transversales de aceptación los siguientes: que el código fuente resida en un repositorio Git organizado y documentado; que las reglas de cálculo de estado cuenten con pruebas automatizadas; y que el sistema sea reproducible en un equipo distinto siguiendo exclusivamente el manual de instalación entregado.</w:t>
      </w:r>
    </w:p>
    <w:p w14:paraId="5B15D792" w14:textId="77777777" w:rsidR="00CE2DA2" w:rsidRPr="00317AA7" w:rsidRDefault="00D91203">
      <w:pPr>
        <w:pStyle w:val="Ttulo1"/>
        <w:pageBreakBefore/>
        <w:rPr>
          <w:rFonts w:ascii="Times New Roman" w:hAnsi="Times New Roman" w:cs="Times New Roman"/>
          <w:color w:val="auto"/>
        </w:rPr>
      </w:pPr>
      <w:bookmarkStart w:id="50" w:name="_Toc237262873"/>
      <w:r>
        <w:rPr>
          <w:rFonts w:ascii="Times New Roman" w:hAnsi="Times New Roman" w:cs="Times New Roman"/>
          <w:color w:val="auto"/>
        </w:rPr>
        <w:lastRenderedPageBreak/>
        <w:t>Anexo A. Glosario extendido</w:t>
      </w:r>
      <w:bookmarkEnd w:id="50"/>
    </w:p>
    <w:p w14:paraId="6FFBDF04"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Este anexo amplía la tabla de la sección 1.3 con terminología del dominio logístico y farmacéutico empleada en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2DA2" w:rsidRPr="00317AA7" w14:paraId="2C0169BC" w14:textId="77777777">
        <w:trPr>
          <w:tblHeader/>
        </w:trPr>
        <w:tc>
          <w:tcPr>
            <w:tcW w:w="2200" w:type="dxa"/>
            <w:shd w:val="clear" w:color="auto" w:fill="D9E2F3"/>
            <w:tcMar>
              <w:top w:w="60" w:type="dxa"/>
              <w:left w:w="100" w:type="dxa"/>
              <w:bottom w:w="60" w:type="dxa"/>
              <w:right w:w="100" w:type="dxa"/>
            </w:tcMar>
          </w:tcPr>
          <w:p w14:paraId="2CA79AA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Término</w:t>
            </w:r>
          </w:p>
        </w:tc>
        <w:tc>
          <w:tcPr>
            <w:tcW w:w="7160" w:type="dxa"/>
            <w:shd w:val="clear" w:color="auto" w:fill="D9E2F3"/>
            <w:tcMar>
              <w:top w:w="60" w:type="dxa"/>
              <w:left w:w="100" w:type="dxa"/>
              <w:bottom w:w="60" w:type="dxa"/>
              <w:right w:w="100" w:type="dxa"/>
            </w:tcMar>
          </w:tcPr>
          <w:p w14:paraId="34E40E3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Definición</w:t>
            </w:r>
          </w:p>
        </w:tc>
      </w:tr>
      <w:tr w:rsidR="00CE2DA2" w:rsidRPr="00317AA7" w14:paraId="4AFA4E10" w14:textId="77777777">
        <w:tc>
          <w:tcPr>
            <w:tcW w:w="2200" w:type="dxa"/>
            <w:tcMar>
              <w:top w:w="60" w:type="dxa"/>
              <w:left w:w="100" w:type="dxa"/>
              <w:bottom w:w="60" w:type="dxa"/>
              <w:right w:w="100" w:type="dxa"/>
            </w:tcMar>
          </w:tcPr>
          <w:p w14:paraId="4D4215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Agente aduanal</w:t>
            </w:r>
          </w:p>
        </w:tc>
        <w:tc>
          <w:tcPr>
            <w:tcW w:w="7160" w:type="dxa"/>
            <w:tcMar>
              <w:top w:w="60" w:type="dxa"/>
              <w:left w:w="100" w:type="dxa"/>
              <w:bottom w:w="60" w:type="dxa"/>
              <w:right w:w="100" w:type="dxa"/>
            </w:tcMar>
          </w:tcPr>
          <w:p w14:paraId="7B3C14E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 física o jurídica autorizada para tramitar la nacionalización de mercancías ante la autoridad aduanera.</w:t>
            </w:r>
          </w:p>
        </w:tc>
      </w:tr>
      <w:tr w:rsidR="00CE2DA2" w:rsidRPr="00317AA7" w14:paraId="6C23EFAA" w14:textId="77777777">
        <w:tc>
          <w:tcPr>
            <w:tcW w:w="2200" w:type="dxa"/>
            <w:tcMar>
              <w:top w:w="60" w:type="dxa"/>
              <w:left w:w="100" w:type="dxa"/>
              <w:bottom w:w="60" w:type="dxa"/>
              <w:right w:w="100" w:type="dxa"/>
            </w:tcMar>
          </w:tcPr>
          <w:p w14:paraId="2CA95F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Almacén fiscal</w:t>
            </w:r>
          </w:p>
        </w:tc>
        <w:tc>
          <w:tcPr>
            <w:tcW w:w="7160" w:type="dxa"/>
            <w:tcMar>
              <w:top w:w="60" w:type="dxa"/>
              <w:left w:w="100" w:type="dxa"/>
              <w:bottom w:w="60" w:type="dxa"/>
              <w:right w:w="100" w:type="dxa"/>
            </w:tcMar>
          </w:tcPr>
          <w:p w14:paraId="78C9ADF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Depósito autorizado en el que la mercancía importada permanece bajo control aduanero hasta su nacionalización. El traslado del puerto a este depósito lo ejecuta el transportista.</w:t>
            </w:r>
          </w:p>
        </w:tc>
      </w:tr>
      <w:tr w:rsidR="00CE2DA2" w:rsidRPr="00317AA7" w14:paraId="1A843795" w14:textId="77777777">
        <w:tc>
          <w:tcPr>
            <w:tcW w:w="2200" w:type="dxa"/>
            <w:tcMar>
              <w:top w:w="60" w:type="dxa"/>
              <w:left w:w="100" w:type="dxa"/>
              <w:bottom w:w="60" w:type="dxa"/>
              <w:right w:w="100" w:type="dxa"/>
            </w:tcMar>
          </w:tcPr>
          <w:p w14:paraId="7F91908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Booking</w:t>
            </w:r>
          </w:p>
        </w:tc>
        <w:tc>
          <w:tcPr>
            <w:tcW w:w="7160" w:type="dxa"/>
            <w:tcMar>
              <w:top w:w="60" w:type="dxa"/>
              <w:left w:w="100" w:type="dxa"/>
              <w:bottom w:w="60" w:type="dxa"/>
              <w:right w:w="100" w:type="dxa"/>
            </w:tcMar>
          </w:tcPr>
          <w:p w14:paraId="0E6382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Reserva de espacio de carga con una naviera, previa a la emisión del conocimiento de embarque.</w:t>
            </w:r>
          </w:p>
        </w:tc>
      </w:tr>
      <w:tr w:rsidR="00CE2DA2" w:rsidRPr="00317AA7" w14:paraId="4AFAFF61" w14:textId="77777777">
        <w:tc>
          <w:tcPr>
            <w:tcW w:w="2200" w:type="dxa"/>
            <w:tcMar>
              <w:top w:w="60" w:type="dxa"/>
              <w:left w:w="100" w:type="dxa"/>
              <w:bottom w:w="60" w:type="dxa"/>
              <w:right w:w="100" w:type="dxa"/>
            </w:tcMar>
          </w:tcPr>
          <w:p w14:paraId="5D5511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Congestión portuaria</w:t>
            </w:r>
          </w:p>
        </w:tc>
        <w:tc>
          <w:tcPr>
            <w:tcW w:w="7160" w:type="dxa"/>
            <w:tcMar>
              <w:top w:w="60" w:type="dxa"/>
              <w:left w:w="100" w:type="dxa"/>
              <w:bottom w:w="60" w:type="dxa"/>
              <w:right w:w="100" w:type="dxa"/>
            </w:tcMar>
          </w:tcPr>
          <w:p w14:paraId="23994B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Saturación de la capacidad operativa de un puerto que produce demoras en el atraque y la descarga. En el contexto de Gutis, un factor de riesgo relevante en el puerto de Moín.</w:t>
            </w:r>
          </w:p>
        </w:tc>
      </w:tr>
      <w:tr w:rsidR="00CE2DA2" w:rsidRPr="00317AA7" w14:paraId="6B47E0B8" w14:textId="77777777">
        <w:tc>
          <w:tcPr>
            <w:tcW w:w="2200" w:type="dxa"/>
            <w:tcMar>
              <w:top w:w="60" w:type="dxa"/>
              <w:left w:w="100" w:type="dxa"/>
              <w:bottom w:w="60" w:type="dxa"/>
              <w:right w:w="100" w:type="dxa"/>
            </w:tcMar>
          </w:tcPr>
          <w:p w14:paraId="39AE2E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Consolidado</w:t>
            </w:r>
          </w:p>
        </w:tc>
        <w:tc>
          <w:tcPr>
            <w:tcW w:w="7160" w:type="dxa"/>
            <w:tcMar>
              <w:top w:w="60" w:type="dxa"/>
              <w:left w:w="100" w:type="dxa"/>
              <w:bottom w:w="60" w:type="dxa"/>
              <w:right w:w="100" w:type="dxa"/>
            </w:tcMar>
          </w:tcPr>
          <w:p w14:paraId="6A30C0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Embarque en el que la carga de varios importadores comparte un mismo contenedor o una misma nave. El transportista informa la disponibilidad por contenedor.</w:t>
            </w:r>
          </w:p>
        </w:tc>
      </w:tr>
      <w:tr w:rsidR="00CE2DA2" w:rsidRPr="00317AA7" w14:paraId="3C6A4082" w14:textId="77777777">
        <w:tc>
          <w:tcPr>
            <w:tcW w:w="2200" w:type="dxa"/>
            <w:tcMar>
              <w:top w:w="60" w:type="dxa"/>
              <w:left w:w="100" w:type="dxa"/>
              <w:bottom w:w="60" w:type="dxa"/>
              <w:right w:w="100" w:type="dxa"/>
            </w:tcMar>
          </w:tcPr>
          <w:p w14:paraId="1A23F9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Excipiente</w:t>
            </w:r>
          </w:p>
        </w:tc>
        <w:tc>
          <w:tcPr>
            <w:tcW w:w="7160" w:type="dxa"/>
            <w:tcMar>
              <w:top w:w="60" w:type="dxa"/>
              <w:left w:w="100" w:type="dxa"/>
              <w:bottom w:w="60" w:type="dxa"/>
              <w:right w:w="100" w:type="dxa"/>
            </w:tcMar>
          </w:tcPr>
          <w:p w14:paraId="713294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Sustancia sin actividad farmacológica que acompaña al principio activo en una formulación farmacéutica.</w:t>
            </w:r>
          </w:p>
        </w:tc>
      </w:tr>
      <w:tr w:rsidR="00CE2DA2" w:rsidRPr="00317AA7" w14:paraId="79AA8310" w14:textId="77777777">
        <w:tc>
          <w:tcPr>
            <w:tcW w:w="2200" w:type="dxa"/>
            <w:tcMar>
              <w:top w:w="60" w:type="dxa"/>
              <w:left w:w="100" w:type="dxa"/>
              <w:bottom w:w="60" w:type="dxa"/>
              <w:right w:w="100" w:type="dxa"/>
            </w:tcMar>
          </w:tcPr>
          <w:p w14:paraId="40AD17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 time del destino</w:t>
            </w:r>
          </w:p>
        </w:tc>
        <w:tc>
          <w:tcPr>
            <w:tcW w:w="7160" w:type="dxa"/>
            <w:tcMar>
              <w:top w:w="60" w:type="dxa"/>
              <w:left w:w="100" w:type="dxa"/>
              <w:bottom w:w="60" w:type="dxa"/>
              <w:right w:w="100" w:type="dxa"/>
            </w:tcMar>
          </w:tcPr>
          <w:p w14:paraId="4B5AE9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que transcurren entre el arribo de la carga al destino y su ingreso a la planta o almacén, comprendiendo desembarque, nacionalización y traslado. Es único por destino conforme a RN-12.</w:t>
            </w:r>
          </w:p>
        </w:tc>
      </w:tr>
      <w:tr w:rsidR="00CE2DA2" w:rsidRPr="00317AA7" w14:paraId="1C4E6C59" w14:textId="77777777">
        <w:tc>
          <w:tcPr>
            <w:tcW w:w="2200" w:type="dxa"/>
            <w:tcMar>
              <w:top w:w="60" w:type="dxa"/>
              <w:left w:w="100" w:type="dxa"/>
              <w:bottom w:w="60" w:type="dxa"/>
              <w:right w:w="100" w:type="dxa"/>
            </w:tcMar>
          </w:tcPr>
          <w:p w14:paraId="3F84E3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Liberación</w:t>
            </w:r>
          </w:p>
        </w:tc>
        <w:tc>
          <w:tcPr>
            <w:tcW w:w="7160" w:type="dxa"/>
            <w:tcMar>
              <w:top w:w="60" w:type="dxa"/>
              <w:left w:w="100" w:type="dxa"/>
              <w:bottom w:w="60" w:type="dxa"/>
              <w:right w:w="100" w:type="dxa"/>
            </w:tcMar>
          </w:tcPr>
          <w:p w14:paraId="680B80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Autorización emitida por Aseguramiento de la Calidad que habilita el uso en producción de un material previamente muestreado y analizado. Ocurre en promedio quince días después del ingreso a bodega y queda fuera del cálculo de RN-01.</w:t>
            </w:r>
          </w:p>
        </w:tc>
      </w:tr>
      <w:tr w:rsidR="00CE2DA2" w:rsidRPr="00317AA7" w14:paraId="7F189DE0" w14:textId="77777777">
        <w:tc>
          <w:tcPr>
            <w:tcW w:w="2200" w:type="dxa"/>
            <w:tcMar>
              <w:top w:w="60" w:type="dxa"/>
              <w:left w:w="100" w:type="dxa"/>
              <w:bottom w:w="60" w:type="dxa"/>
              <w:right w:w="100" w:type="dxa"/>
            </w:tcMar>
          </w:tcPr>
          <w:p w14:paraId="1D72EE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Nacionalización</w:t>
            </w:r>
          </w:p>
        </w:tc>
        <w:tc>
          <w:tcPr>
            <w:tcW w:w="7160" w:type="dxa"/>
            <w:tcMar>
              <w:top w:w="60" w:type="dxa"/>
              <w:left w:w="100" w:type="dxa"/>
              <w:bottom w:w="60" w:type="dxa"/>
              <w:right w:w="100" w:type="dxa"/>
            </w:tcMar>
          </w:tcPr>
          <w:p w14:paraId="5D396D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Conjunto de trámites que permiten el ingreso legal de una mercancía importada al territorio nacional.</w:t>
            </w:r>
          </w:p>
        </w:tc>
      </w:tr>
      <w:tr w:rsidR="00CE2DA2" w:rsidRPr="00317AA7" w14:paraId="4948AAFC" w14:textId="77777777">
        <w:tc>
          <w:tcPr>
            <w:tcW w:w="2200" w:type="dxa"/>
            <w:tcMar>
              <w:top w:w="60" w:type="dxa"/>
              <w:left w:w="100" w:type="dxa"/>
              <w:bottom w:w="60" w:type="dxa"/>
              <w:right w:w="100" w:type="dxa"/>
            </w:tcMar>
          </w:tcPr>
          <w:p w14:paraId="6E6D8F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Payload</w:t>
            </w:r>
          </w:p>
        </w:tc>
        <w:tc>
          <w:tcPr>
            <w:tcW w:w="7160" w:type="dxa"/>
            <w:tcMar>
              <w:top w:w="60" w:type="dxa"/>
              <w:left w:w="100" w:type="dxa"/>
              <w:bottom w:w="60" w:type="dxa"/>
              <w:right w:w="100" w:type="dxa"/>
            </w:tcMar>
          </w:tcPr>
          <w:p w14:paraId="7C2C44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Contenido íntegro de la respuesta de una API, conservado sin transformación para fines de auditoría.</w:t>
            </w:r>
          </w:p>
        </w:tc>
      </w:tr>
      <w:tr w:rsidR="00CE2DA2" w:rsidRPr="00317AA7" w14:paraId="68D22924" w14:textId="77777777">
        <w:tc>
          <w:tcPr>
            <w:tcW w:w="2200" w:type="dxa"/>
            <w:tcMar>
              <w:top w:w="60" w:type="dxa"/>
              <w:left w:w="100" w:type="dxa"/>
              <w:bottom w:w="60" w:type="dxa"/>
              <w:right w:w="100" w:type="dxa"/>
            </w:tcMar>
          </w:tcPr>
          <w:p w14:paraId="03D46CB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Port call</w:t>
            </w:r>
          </w:p>
        </w:tc>
        <w:tc>
          <w:tcPr>
            <w:tcW w:w="7160" w:type="dxa"/>
            <w:tcMar>
              <w:top w:w="60" w:type="dxa"/>
              <w:left w:w="100" w:type="dxa"/>
              <w:bottom w:w="60" w:type="dxa"/>
              <w:right w:w="100" w:type="dxa"/>
            </w:tcMar>
          </w:tcPr>
          <w:p w14:paraId="075BD3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Escala de una embarcación en un puerto, con sus eventos de arribo y zarpe.</w:t>
            </w:r>
          </w:p>
        </w:tc>
      </w:tr>
      <w:tr w:rsidR="00CE2DA2" w:rsidRPr="00317AA7" w14:paraId="2E697D01" w14:textId="77777777">
        <w:tc>
          <w:tcPr>
            <w:tcW w:w="2200" w:type="dxa"/>
            <w:tcMar>
              <w:top w:w="60" w:type="dxa"/>
              <w:left w:w="100" w:type="dxa"/>
              <w:bottom w:w="60" w:type="dxa"/>
              <w:right w:w="100" w:type="dxa"/>
            </w:tcMar>
          </w:tcPr>
          <w:p w14:paraId="618134A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Quiebre de stock</w:t>
            </w:r>
          </w:p>
        </w:tc>
        <w:tc>
          <w:tcPr>
            <w:tcW w:w="7160" w:type="dxa"/>
            <w:tcMar>
              <w:top w:w="60" w:type="dxa"/>
              <w:left w:w="100" w:type="dxa"/>
              <w:bottom w:w="60" w:type="dxa"/>
              <w:right w:w="100" w:type="dxa"/>
            </w:tcMar>
          </w:tcPr>
          <w:p w14:paraId="34CCC33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Agotamiento de existencias de un material que impide continuar la producción o atender la demanda.</w:t>
            </w:r>
          </w:p>
        </w:tc>
      </w:tr>
      <w:tr w:rsidR="00CE2DA2" w:rsidRPr="00317AA7" w14:paraId="1E073652" w14:textId="77777777">
        <w:tc>
          <w:tcPr>
            <w:tcW w:w="2200" w:type="dxa"/>
            <w:tcMar>
              <w:top w:w="60" w:type="dxa"/>
              <w:left w:w="100" w:type="dxa"/>
              <w:bottom w:w="60" w:type="dxa"/>
              <w:right w:w="100" w:type="dxa"/>
            </w:tcMar>
          </w:tcPr>
          <w:p w14:paraId="079F59B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Redestino</w:t>
            </w:r>
          </w:p>
        </w:tc>
        <w:tc>
          <w:tcPr>
            <w:tcW w:w="7160" w:type="dxa"/>
            <w:tcMar>
              <w:top w:w="60" w:type="dxa"/>
              <w:left w:w="100" w:type="dxa"/>
              <w:bottom w:w="60" w:type="dxa"/>
              <w:right w:w="100" w:type="dxa"/>
            </w:tcMar>
          </w:tcPr>
          <w:p w14:paraId="074285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Traslado de la carga desde el puerto o aeropuerto de llegada hasta el almacén fiscal, ejecutado por el transportista.</w:t>
            </w:r>
          </w:p>
        </w:tc>
      </w:tr>
      <w:tr w:rsidR="00CE2DA2" w:rsidRPr="00317AA7" w14:paraId="1E1911B4" w14:textId="77777777">
        <w:tc>
          <w:tcPr>
            <w:tcW w:w="2200" w:type="dxa"/>
            <w:tcMar>
              <w:top w:w="60" w:type="dxa"/>
              <w:left w:w="100" w:type="dxa"/>
              <w:bottom w:w="60" w:type="dxa"/>
              <w:right w:w="100" w:type="dxa"/>
            </w:tcMar>
          </w:tcPr>
          <w:p w14:paraId="1FED64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Semáforo</w:t>
            </w:r>
          </w:p>
        </w:tc>
        <w:tc>
          <w:tcPr>
            <w:tcW w:w="7160" w:type="dxa"/>
            <w:tcMar>
              <w:top w:w="60" w:type="dxa"/>
              <w:left w:w="100" w:type="dxa"/>
              <w:bottom w:w="60" w:type="dxa"/>
              <w:right w:w="100" w:type="dxa"/>
            </w:tcMar>
          </w:tcPr>
          <w:p w14:paraId="7131C9D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Esquema de codificación por color que comunica el estado logístico de un pedido de un vistazo.</w:t>
            </w:r>
          </w:p>
        </w:tc>
      </w:tr>
      <w:tr w:rsidR="00CE2DA2" w:rsidRPr="00317AA7" w14:paraId="1F071EC2" w14:textId="77777777">
        <w:tc>
          <w:tcPr>
            <w:tcW w:w="2200" w:type="dxa"/>
            <w:tcMar>
              <w:top w:w="60" w:type="dxa"/>
              <w:left w:w="100" w:type="dxa"/>
              <w:bottom w:w="60" w:type="dxa"/>
              <w:right w:w="100" w:type="dxa"/>
            </w:tcMar>
          </w:tcPr>
          <w:p w14:paraId="15BBA6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SOLPED</w:t>
            </w:r>
          </w:p>
        </w:tc>
        <w:tc>
          <w:tcPr>
            <w:tcW w:w="7160" w:type="dxa"/>
            <w:tcMar>
              <w:top w:w="60" w:type="dxa"/>
              <w:left w:w="100" w:type="dxa"/>
              <w:bottom w:w="60" w:type="dxa"/>
              <w:right w:w="100" w:type="dxa"/>
            </w:tcMar>
          </w:tcPr>
          <w:p w14:paraId="5AF25DD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Solicitud de pedido registrada en SAP por el área usuaria. Tras recorrer su flujo de aprobación habilita al comprador a cotizar con los proveedores y a emitir la orden de compra.</w:t>
            </w:r>
          </w:p>
        </w:tc>
      </w:tr>
      <w:tr w:rsidR="00CE2DA2" w:rsidRPr="00317AA7" w14:paraId="429A19FB" w14:textId="77777777">
        <w:tc>
          <w:tcPr>
            <w:tcW w:w="2200" w:type="dxa"/>
            <w:tcMar>
              <w:top w:w="60" w:type="dxa"/>
              <w:left w:w="100" w:type="dxa"/>
              <w:bottom w:w="60" w:type="dxa"/>
              <w:right w:w="100" w:type="dxa"/>
            </w:tcMar>
          </w:tcPr>
          <w:p w14:paraId="6F33B28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Transbordo</w:t>
            </w:r>
          </w:p>
        </w:tc>
        <w:tc>
          <w:tcPr>
            <w:tcW w:w="7160" w:type="dxa"/>
            <w:tcMar>
              <w:top w:w="60" w:type="dxa"/>
              <w:left w:w="100" w:type="dxa"/>
              <w:bottom w:w="60" w:type="dxa"/>
              <w:right w:w="100" w:type="dxa"/>
            </w:tcMar>
          </w:tcPr>
          <w:p w14:paraId="2D5575E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Cambio de la carga de una nave a otra en un puerto intermedio. Es frecuente en las rutas de Gutis y sólo lo notifica el transportista, nunca la fuente AIS.</w:t>
            </w:r>
          </w:p>
        </w:tc>
      </w:tr>
      <w:tr w:rsidR="00CE2DA2" w:rsidRPr="00317AA7" w14:paraId="4F763A06" w14:textId="77777777">
        <w:tc>
          <w:tcPr>
            <w:tcW w:w="2200" w:type="dxa"/>
            <w:tcMar>
              <w:top w:w="60" w:type="dxa"/>
              <w:left w:w="100" w:type="dxa"/>
              <w:bottom w:w="60" w:type="dxa"/>
              <w:right w:w="100" w:type="dxa"/>
            </w:tcMar>
          </w:tcPr>
          <w:p w14:paraId="42C8DC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Trazabilidad</w:t>
            </w:r>
          </w:p>
        </w:tc>
        <w:tc>
          <w:tcPr>
            <w:tcW w:w="7160" w:type="dxa"/>
            <w:tcMar>
              <w:top w:w="60" w:type="dxa"/>
              <w:left w:w="100" w:type="dxa"/>
              <w:bottom w:w="60" w:type="dxa"/>
              <w:right w:w="100" w:type="dxa"/>
            </w:tcMar>
          </w:tcPr>
          <w:p w14:paraId="2EC826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Capacidad de reconstruir el recorrido y los estados por los que pasó una carga, con evidencia verificable.</w:t>
            </w:r>
          </w:p>
        </w:tc>
      </w:tr>
    </w:tbl>
    <w:p w14:paraId="059CD4A5" w14:textId="77777777" w:rsidR="00CE2DA2" w:rsidRPr="00317AA7" w:rsidRDefault="00D91203">
      <w:pPr>
        <w:pStyle w:val="Ttulo1"/>
        <w:pageBreakBefore/>
        <w:rPr>
          <w:rFonts w:ascii="Times New Roman" w:hAnsi="Times New Roman" w:cs="Times New Roman"/>
          <w:color w:val="auto"/>
        </w:rPr>
      </w:pPr>
      <w:bookmarkStart w:id="51" w:name="_Toc237262874"/>
      <w:r>
        <w:rPr>
          <w:rFonts w:ascii="Times New Roman" w:hAnsi="Times New Roman" w:cs="Times New Roman"/>
          <w:color w:val="auto"/>
        </w:rPr>
        <w:lastRenderedPageBreak/>
        <w:t>Anexo B. Contrato de datos del servicio API de SAP</w:t>
      </w:r>
      <w:bookmarkEnd w:id="51"/>
    </w:p>
    <w:p w14:paraId="6C9676F6" w14:textId="0200AB4E"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Este anexo especificará el contrato del servicio API que expondrá SAP S/4HANA: campos, tipos de dato, formatos de fecha, valores admitidos en los campos de dominio, reglas de obligatoriedad, mecanismo de autenticación y periodicidad de invocación admitida. Esta especificación es el insumo directo de RF-01 y RF-02.</w:t>
      </w:r>
    </w:p>
    <w:p w14:paraId="635E9DF9" w14:textId="77777777" w:rsidR="00CE2DA2" w:rsidRPr="00317AA7" w:rsidRDefault="00D91203">
      <w:pPr>
        <w:shd w:val="clear" w:color="auto" w:fill="FFF2CC"/>
        <w:spacing w:before="100" w:after="140"/>
        <w:rPr>
          <w:rFonts w:ascii="Times New Roman" w:hAnsi="Times New Roman" w:cs="Times New Roman"/>
          <w:color w:val="auto"/>
        </w:rPr>
      </w:pPr>
      <w:r>
        <w:rPr>
          <w:rFonts w:ascii="Times New Roman" w:hAnsi="Times New Roman" w:cs="Times New Roman"/>
          <w:b/>
          <w:bCs/>
          <w:color w:val="auto"/>
        </w:rPr>
        <w:t xml:space="preserve">[PENDIENTE ESPECIFICACIÓN DE LA API DE SAP] </w:t>
      </w:r>
      <w:r>
        <w:rPr>
          <w:rFonts w:ascii="Times New Roman" w:hAnsi="Times New Roman" w:cs="Times New Roman"/>
          <w:i/>
          <w:iCs/>
          <w:color w:val="auto"/>
        </w:rPr>
        <w:t>Este anexo no puede completarse hasta que el Centro de Competencias entregue la definición del servicio. Se solicitan la especificación de campos, un entorno de pruebas y una respuesta de ejemplo con un mínimo de veinte pedidos representativos, que incluya casos de vía marítima y aérea y al menos un caso sin identificador de rastreo asociado.</w:t>
      </w:r>
    </w:p>
    <w:p w14:paraId="3FDF34C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Estructura tentativa, sujeta a confirmación contra la especificación del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400"/>
        <w:gridCol w:w="4360"/>
      </w:tblGrid>
      <w:tr w:rsidR="00CE2DA2" w:rsidRPr="00317AA7" w14:paraId="2895E663" w14:textId="77777777">
        <w:trPr>
          <w:tblHeader/>
        </w:trPr>
        <w:tc>
          <w:tcPr>
            <w:tcW w:w="2400" w:type="dxa"/>
            <w:shd w:val="clear" w:color="auto" w:fill="D9E2F3"/>
            <w:tcMar>
              <w:top w:w="60" w:type="dxa"/>
              <w:left w:w="100" w:type="dxa"/>
              <w:bottom w:w="60" w:type="dxa"/>
              <w:right w:w="100" w:type="dxa"/>
            </w:tcMar>
          </w:tcPr>
          <w:p w14:paraId="70F939B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 esperado</w:t>
            </w:r>
          </w:p>
        </w:tc>
        <w:tc>
          <w:tcPr>
            <w:tcW w:w="1200" w:type="dxa"/>
            <w:shd w:val="clear" w:color="auto" w:fill="D9E2F3"/>
            <w:tcMar>
              <w:top w:w="60" w:type="dxa"/>
              <w:left w:w="100" w:type="dxa"/>
              <w:bottom w:w="60" w:type="dxa"/>
              <w:right w:w="100" w:type="dxa"/>
            </w:tcMar>
          </w:tcPr>
          <w:p w14:paraId="2427355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w:t>
            </w:r>
          </w:p>
        </w:tc>
        <w:tc>
          <w:tcPr>
            <w:tcW w:w="1400" w:type="dxa"/>
            <w:shd w:val="clear" w:color="auto" w:fill="D9E2F3"/>
            <w:tcMar>
              <w:top w:w="60" w:type="dxa"/>
              <w:left w:w="100" w:type="dxa"/>
              <w:bottom w:w="60" w:type="dxa"/>
              <w:right w:w="100" w:type="dxa"/>
            </w:tcMar>
          </w:tcPr>
          <w:p w14:paraId="0F36E03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Obligatorio</w:t>
            </w:r>
          </w:p>
        </w:tc>
        <w:tc>
          <w:tcPr>
            <w:tcW w:w="4360" w:type="dxa"/>
            <w:shd w:val="clear" w:color="auto" w:fill="D9E2F3"/>
            <w:tcMar>
              <w:top w:w="60" w:type="dxa"/>
              <w:left w:w="100" w:type="dxa"/>
              <w:bottom w:w="60" w:type="dxa"/>
              <w:right w:w="100" w:type="dxa"/>
            </w:tcMar>
          </w:tcPr>
          <w:p w14:paraId="474476F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Observación</w:t>
            </w:r>
          </w:p>
        </w:tc>
      </w:tr>
      <w:tr w:rsidR="00CE2DA2" w:rsidRPr="00317AA7" w14:paraId="11131A0F" w14:textId="77777777">
        <w:tc>
          <w:tcPr>
            <w:tcW w:w="2400" w:type="dxa"/>
            <w:tcMar>
              <w:top w:w="60" w:type="dxa"/>
              <w:left w:w="100" w:type="dxa"/>
              <w:bottom w:w="60" w:type="dxa"/>
              <w:right w:w="100" w:type="dxa"/>
            </w:tcMar>
          </w:tcPr>
          <w:p w14:paraId="19B41D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 de OC</w:t>
            </w:r>
          </w:p>
        </w:tc>
        <w:tc>
          <w:tcPr>
            <w:tcW w:w="1200" w:type="dxa"/>
            <w:tcMar>
              <w:top w:w="60" w:type="dxa"/>
              <w:left w:w="100" w:type="dxa"/>
              <w:bottom w:w="60" w:type="dxa"/>
              <w:right w:w="100" w:type="dxa"/>
            </w:tcMar>
          </w:tcPr>
          <w:p w14:paraId="2DEE30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25C65E1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46143A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Junto con la posición, identifica unívocamente el pedido.</w:t>
            </w:r>
          </w:p>
        </w:tc>
      </w:tr>
      <w:tr w:rsidR="00CE2DA2" w:rsidRPr="00317AA7" w14:paraId="18465C37" w14:textId="77777777">
        <w:tc>
          <w:tcPr>
            <w:tcW w:w="2400" w:type="dxa"/>
            <w:tcMar>
              <w:top w:w="60" w:type="dxa"/>
              <w:left w:w="100" w:type="dxa"/>
              <w:bottom w:w="60" w:type="dxa"/>
              <w:right w:w="100" w:type="dxa"/>
            </w:tcMar>
          </w:tcPr>
          <w:p w14:paraId="24DB61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Posición</w:t>
            </w:r>
          </w:p>
        </w:tc>
        <w:tc>
          <w:tcPr>
            <w:tcW w:w="1200" w:type="dxa"/>
            <w:tcMar>
              <w:top w:w="60" w:type="dxa"/>
              <w:left w:w="100" w:type="dxa"/>
              <w:bottom w:w="60" w:type="dxa"/>
              <w:right w:w="100" w:type="dxa"/>
            </w:tcMar>
          </w:tcPr>
          <w:p w14:paraId="0F376FB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Entero</w:t>
            </w:r>
          </w:p>
        </w:tc>
        <w:tc>
          <w:tcPr>
            <w:tcW w:w="1400" w:type="dxa"/>
            <w:tcMar>
              <w:top w:w="60" w:type="dxa"/>
              <w:left w:w="100" w:type="dxa"/>
              <w:bottom w:w="60" w:type="dxa"/>
              <w:right w:w="100" w:type="dxa"/>
            </w:tcMar>
          </w:tcPr>
          <w:p w14:paraId="5CC5BCF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8EFF2E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Línea dentro de la orden de compra.</w:t>
            </w:r>
          </w:p>
        </w:tc>
      </w:tr>
      <w:tr w:rsidR="00CE2DA2" w:rsidRPr="00317AA7" w14:paraId="4C9B9688" w14:textId="77777777">
        <w:tc>
          <w:tcPr>
            <w:tcW w:w="2400" w:type="dxa"/>
            <w:tcMar>
              <w:top w:w="60" w:type="dxa"/>
              <w:left w:w="100" w:type="dxa"/>
              <w:bottom w:w="60" w:type="dxa"/>
              <w:right w:w="100" w:type="dxa"/>
            </w:tcMar>
          </w:tcPr>
          <w:p w14:paraId="5E4C6A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w:t>
            </w:r>
          </w:p>
        </w:tc>
        <w:tc>
          <w:tcPr>
            <w:tcW w:w="1200" w:type="dxa"/>
            <w:tcMar>
              <w:top w:w="60" w:type="dxa"/>
              <w:left w:w="100" w:type="dxa"/>
              <w:bottom w:w="60" w:type="dxa"/>
              <w:right w:w="100" w:type="dxa"/>
            </w:tcMar>
          </w:tcPr>
          <w:p w14:paraId="34A6EC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2C3856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1E0EAC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y descripción.</w:t>
            </w:r>
          </w:p>
        </w:tc>
      </w:tr>
      <w:tr w:rsidR="00CE2DA2" w:rsidRPr="00317AA7" w14:paraId="7787153B" w14:textId="77777777">
        <w:tc>
          <w:tcPr>
            <w:tcW w:w="2400" w:type="dxa"/>
            <w:tcMar>
              <w:top w:w="60" w:type="dxa"/>
              <w:left w:w="100" w:type="dxa"/>
              <w:bottom w:w="60" w:type="dxa"/>
              <w:right w:w="100" w:type="dxa"/>
            </w:tcMar>
          </w:tcPr>
          <w:p w14:paraId="07EABF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w:t>
            </w:r>
          </w:p>
        </w:tc>
        <w:tc>
          <w:tcPr>
            <w:tcW w:w="1200" w:type="dxa"/>
            <w:tcMar>
              <w:top w:w="60" w:type="dxa"/>
              <w:left w:w="100" w:type="dxa"/>
              <w:bottom w:w="60" w:type="dxa"/>
              <w:right w:w="100" w:type="dxa"/>
            </w:tcMar>
          </w:tcPr>
          <w:p w14:paraId="53CB8C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42D27E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05853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Nombre o código del proveedor.</w:t>
            </w:r>
          </w:p>
        </w:tc>
      </w:tr>
      <w:tr w:rsidR="00CE2DA2" w:rsidRPr="00317AA7" w14:paraId="08ABFE01" w14:textId="77777777">
        <w:tc>
          <w:tcPr>
            <w:tcW w:w="2400" w:type="dxa"/>
            <w:tcMar>
              <w:top w:w="60" w:type="dxa"/>
              <w:left w:w="100" w:type="dxa"/>
              <w:bottom w:w="60" w:type="dxa"/>
              <w:right w:w="100" w:type="dxa"/>
            </w:tcMar>
          </w:tcPr>
          <w:p w14:paraId="144675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de entrega</w:t>
            </w:r>
          </w:p>
        </w:tc>
        <w:tc>
          <w:tcPr>
            <w:tcW w:w="1200" w:type="dxa"/>
            <w:tcMar>
              <w:top w:w="60" w:type="dxa"/>
              <w:left w:w="100" w:type="dxa"/>
              <w:bottom w:w="60" w:type="dxa"/>
              <w:right w:w="100" w:type="dxa"/>
            </w:tcMar>
          </w:tcPr>
          <w:p w14:paraId="6E0A9CE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w:t>
            </w:r>
          </w:p>
        </w:tc>
        <w:tc>
          <w:tcPr>
            <w:tcW w:w="1400" w:type="dxa"/>
            <w:tcMar>
              <w:top w:w="60" w:type="dxa"/>
              <w:left w:w="100" w:type="dxa"/>
              <w:bottom w:w="60" w:type="dxa"/>
              <w:right w:w="100" w:type="dxa"/>
            </w:tcMar>
          </w:tcPr>
          <w:p w14:paraId="283274C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2B5EF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comprometida. Formato por confirmar.</w:t>
            </w:r>
          </w:p>
        </w:tc>
      </w:tr>
      <w:tr w:rsidR="00CE2DA2" w:rsidRPr="00317AA7" w14:paraId="07472C33" w14:textId="77777777">
        <w:tc>
          <w:tcPr>
            <w:tcW w:w="2400" w:type="dxa"/>
            <w:tcMar>
              <w:top w:w="60" w:type="dxa"/>
              <w:left w:w="100" w:type="dxa"/>
              <w:bottom w:w="60" w:type="dxa"/>
              <w:right w:w="100" w:type="dxa"/>
            </w:tcMar>
          </w:tcPr>
          <w:p w14:paraId="493C299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Vía de transporte</w:t>
            </w:r>
          </w:p>
        </w:tc>
        <w:tc>
          <w:tcPr>
            <w:tcW w:w="1200" w:type="dxa"/>
            <w:tcMar>
              <w:top w:w="60" w:type="dxa"/>
              <w:left w:w="100" w:type="dxa"/>
              <w:bottom w:w="60" w:type="dxa"/>
              <w:right w:w="100" w:type="dxa"/>
            </w:tcMar>
          </w:tcPr>
          <w:p w14:paraId="2413FBF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2DB60D7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C2F8D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Valores admitidos: Aéreo, Marítimo.</w:t>
            </w:r>
          </w:p>
        </w:tc>
      </w:tr>
      <w:tr w:rsidR="00CE2DA2" w:rsidRPr="00317AA7" w14:paraId="777C5E75" w14:textId="77777777">
        <w:tc>
          <w:tcPr>
            <w:tcW w:w="2400" w:type="dxa"/>
            <w:tcMar>
              <w:top w:w="60" w:type="dxa"/>
              <w:left w:w="100" w:type="dxa"/>
              <w:bottom w:w="60" w:type="dxa"/>
              <w:right w:w="100" w:type="dxa"/>
            </w:tcMar>
          </w:tcPr>
          <w:p w14:paraId="50774C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200" w:type="dxa"/>
            <w:tcMar>
              <w:top w:w="60" w:type="dxa"/>
              <w:left w:w="100" w:type="dxa"/>
              <w:bottom w:w="60" w:type="dxa"/>
              <w:right w:w="100" w:type="dxa"/>
            </w:tcMar>
          </w:tcPr>
          <w:p w14:paraId="0BCD68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6227F30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1A3E4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Debe existir en el maestro de destinos.</w:t>
            </w:r>
          </w:p>
        </w:tc>
      </w:tr>
      <w:tr w:rsidR="00CE2DA2" w:rsidRPr="00317AA7" w14:paraId="4B0FCA18" w14:textId="77777777">
        <w:tc>
          <w:tcPr>
            <w:tcW w:w="2400" w:type="dxa"/>
            <w:tcMar>
              <w:top w:w="60" w:type="dxa"/>
              <w:left w:w="100" w:type="dxa"/>
              <w:bottom w:w="60" w:type="dxa"/>
              <w:right w:w="100" w:type="dxa"/>
            </w:tcMar>
          </w:tcPr>
          <w:p w14:paraId="7940A1D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Tipo de tracking</w:t>
            </w:r>
          </w:p>
        </w:tc>
        <w:tc>
          <w:tcPr>
            <w:tcW w:w="1200" w:type="dxa"/>
            <w:tcMar>
              <w:top w:w="60" w:type="dxa"/>
              <w:left w:w="100" w:type="dxa"/>
              <w:bottom w:w="60" w:type="dxa"/>
              <w:right w:w="100" w:type="dxa"/>
            </w:tcMar>
          </w:tcPr>
          <w:p w14:paraId="3F8CBDB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155814B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6F2074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MMSI, IMO, buque, vuelo, AWB, contenedor o booking. Habitualmente vacío: la nave no se conoce hasta la emisión del conocimiento de embarque.</w:t>
            </w:r>
          </w:p>
        </w:tc>
      </w:tr>
      <w:tr w:rsidR="00CE2DA2" w:rsidRPr="00317AA7" w14:paraId="7356235F" w14:textId="77777777">
        <w:tc>
          <w:tcPr>
            <w:tcW w:w="2400" w:type="dxa"/>
            <w:tcMar>
              <w:top w:w="60" w:type="dxa"/>
              <w:left w:w="100" w:type="dxa"/>
              <w:bottom w:w="60" w:type="dxa"/>
              <w:right w:w="100" w:type="dxa"/>
            </w:tcMar>
          </w:tcPr>
          <w:p w14:paraId="37C8D2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Tracking externo</w:t>
            </w:r>
          </w:p>
        </w:tc>
        <w:tc>
          <w:tcPr>
            <w:tcW w:w="1200" w:type="dxa"/>
            <w:tcMar>
              <w:top w:w="60" w:type="dxa"/>
              <w:left w:w="100" w:type="dxa"/>
              <w:bottom w:w="60" w:type="dxa"/>
              <w:right w:w="100" w:type="dxa"/>
            </w:tcMar>
          </w:tcPr>
          <w:p w14:paraId="2E3907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5CE19B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5614B44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Sin este valor el pedido queda en estado Sin tracking hasta que Logística lo registre.</w:t>
            </w:r>
          </w:p>
        </w:tc>
      </w:tr>
    </w:tbl>
    <w:p w14:paraId="4A97EA33" w14:textId="77777777" w:rsidR="00CE2DA2" w:rsidRPr="00317AA7" w:rsidRDefault="00D91203">
      <w:pPr>
        <w:pStyle w:val="Ttulo1"/>
        <w:pageBreakBefore/>
        <w:rPr>
          <w:rFonts w:ascii="Times New Roman" w:hAnsi="Times New Roman" w:cs="Times New Roman"/>
          <w:color w:val="auto"/>
        </w:rPr>
      </w:pPr>
      <w:bookmarkStart w:id="52" w:name="_Toc237262875"/>
      <w:r>
        <w:rPr>
          <w:rFonts w:ascii="Times New Roman" w:hAnsi="Times New Roman" w:cs="Times New Roman"/>
          <w:color w:val="auto"/>
        </w:rPr>
        <w:lastRenderedPageBreak/>
        <w:t>Anexo C. Referencias técnicas de las APIs</w:t>
      </w:r>
      <w:bookmarkEnd w:id="52"/>
    </w:p>
    <w:p w14:paraId="41007594" w14:textId="77777777" w:rsidR="00CE2DA2" w:rsidRPr="00317AA7" w:rsidRDefault="00D91203">
      <w:pPr>
        <w:pStyle w:val="Ttulo2"/>
        <w:rPr>
          <w:rFonts w:ascii="Times New Roman" w:hAnsi="Times New Roman" w:cs="Times New Roman"/>
          <w:color w:val="auto"/>
        </w:rPr>
      </w:pPr>
      <w:bookmarkStart w:id="53" w:name="_Toc237262876"/>
      <w:r>
        <w:rPr>
          <w:rFonts w:ascii="Times New Roman" w:hAnsi="Times New Roman" w:cs="Times New Roman"/>
          <w:color w:val="auto"/>
        </w:rPr>
        <w:t>C.1 Fuentes de rastreo evaluadas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800"/>
        <w:gridCol w:w="4660"/>
      </w:tblGrid>
      <w:tr w:rsidR="00CE2DA2" w:rsidRPr="00317AA7" w14:paraId="35A9C84E" w14:textId="77777777">
        <w:trPr>
          <w:tblHeader/>
        </w:trPr>
        <w:tc>
          <w:tcPr>
            <w:tcW w:w="1900" w:type="dxa"/>
            <w:shd w:val="clear" w:color="auto" w:fill="D9E2F3"/>
            <w:tcMar>
              <w:top w:w="60" w:type="dxa"/>
              <w:left w:w="100" w:type="dxa"/>
              <w:bottom w:w="60" w:type="dxa"/>
              <w:right w:w="100" w:type="dxa"/>
            </w:tcMar>
          </w:tcPr>
          <w:p w14:paraId="49AB7A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Fuente</w:t>
            </w:r>
          </w:p>
        </w:tc>
        <w:tc>
          <w:tcPr>
            <w:tcW w:w="2800" w:type="dxa"/>
            <w:shd w:val="clear" w:color="auto" w:fill="D9E2F3"/>
            <w:tcMar>
              <w:top w:w="60" w:type="dxa"/>
              <w:left w:w="100" w:type="dxa"/>
              <w:bottom w:w="60" w:type="dxa"/>
              <w:right w:w="100" w:type="dxa"/>
            </w:tcMar>
          </w:tcPr>
          <w:p w14:paraId="52852C6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Uso previsto</w:t>
            </w:r>
          </w:p>
        </w:tc>
        <w:tc>
          <w:tcPr>
            <w:tcW w:w="4660" w:type="dxa"/>
            <w:shd w:val="clear" w:color="auto" w:fill="D9E2F3"/>
            <w:tcMar>
              <w:top w:w="60" w:type="dxa"/>
              <w:left w:w="100" w:type="dxa"/>
              <w:bottom w:w="60" w:type="dxa"/>
              <w:right w:w="100" w:type="dxa"/>
            </w:tcMar>
          </w:tcPr>
          <w:p w14:paraId="5A06103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Observación funcional</w:t>
            </w:r>
          </w:p>
        </w:tc>
      </w:tr>
      <w:tr w:rsidR="00CE2DA2" w:rsidRPr="00317AA7" w14:paraId="0A178CA8" w14:textId="77777777">
        <w:tc>
          <w:tcPr>
            <w:tcW w:w="1900" w:type="dxa"/>
            <w:tcMar>
              <w:top w:w="60" w:type="dxa"/>
              <w:left w:w="100" w:type="dxa"/>
              <w:bottom w:w="60" w:type="dxa"/>
              <w:right w:w="100" w:type="dxa"/>
            </w:tcMar>
          </w:tcPr>
          <w:p w14:paraId="4D7631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AISStream</w:t>
            </w:r>
          </w:p>
        </w:tc>
        <w:tc>
          <w:tcPr>
            <w:tcW w:w="2800" w:type="dxa"/>
            <w:tcMar>
              <w:top w:w="60" w:type="dxa"/>
              <w:left w:w="100" w:type="dxa"/>
              <w:bottom w:w="60" w:type="dxa"/>
              <w:right w:w="100" w:type="dxa"/>
            </w:tcMar>
          </w:tcPr>
          <w:p w14:paraId="4A55DB2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Rastreo marítimo del prototipo. Gratuito, por WebSocket.</w:t>
            </w:r>
          </w:p>
        </w:tc>
        <w:tc>
          <w:tcPr>
            <w:tcW w:w="4660" w:type="dxa"/>
            <w:tcMar>
              <w:top w:w="60" w:type="dxa"/>
              <w:left w:w="100" w:type="dxa"/>
              <w:bottom w:w="60" w:type="dxa"/>
              <w:right w:w="100" w:type="dxa"/>
            </w:tcMar>
          </w:tcPr>
          <w:p w14:paraId="5AC6723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Recibe datos AIS por área geográfica mediante mensajes PositionReport. Requiere clave de API. Sin acuerdo de nivel de servicio.</w:t>
            </w:r>
          </w:p>
        </w:tc>
      </w:tr>
      <w:tr w:rsidR="00CE2DA2" w:rsidRPr="00317AA7" w14:paraId="561119CA" w14:textId="77777777">
        <w:tc>
          <w:tcPr>
            <w:tcW w:w="1900" w:type="dxa"/>
            <w:tcMar>
              <w:top w:w="60" w:type="dxa"/>
              <w:left w:w="100" w:type="dxa"/>
              <w:bottom w:w="60" w:type="dxa"/>
              <w:right w:w="100" w:type="dxa"/>
            </w:tcMar>
          </w:tcPr>
          <w:p w14:paraId="447BCE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OpenSky Network</w:t>
            </w:r>
          </w:p>
        </w:tc>
        <w:tc>
          <w:tcPr>
            <w:tcW w:w="2800" w:type="dxa"/>
            <w:tcMar>
              <w:top w:w="60" w:type="dxa"/>
              <w:left w:w="100" w:type="dxa"/>
              <w:bottom w:w="60" w:type="dxa"/>
              <w:right w:w="100" w:type="dxa"/>
            </w:tcMar>
          </w:tcPr>
          <w:p w14:paraId="5C9F1A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Rastreo aéreo del prototipo. Gratuito, API REST.</w:t>
            </w:r>
          </w:p>
        </w:tc>
        <w:tc>
          <w:tcPr>
            <w:tcW w:w="4660" w:type="dxa"/>
            <w:tcMar>
              <w:top w:w="60" w:type="dxa"/>
              <w:left w:w="100" w:type="dxa"/>
              <w:bottom w:w="60" w:type="dxa"/>
              <w:right w:w="100" w:type="dxa"/>
            </w:tcMar>
          </w:tcPr>
          <w:p w14:paraId="5EC8BD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 entrega itinerarios comerciales ni datos de retraso que no se deriven de ADS-B. Cobertura dependiente de la red de receptores.</w:t>
            </w:r>
          </w:p>
        </w:tc>
      </w:tr>
      <w:tr w:rsidR="00CE2DA2" w:rsidRPr="00317AA7" w14:paraId="21A67F00" w14:textId="77777777">
        <w:tc>
          <w:tcPr>
            <w:tcW w:w="1900" w:type="dxa"/>
            <w:tcMar>
              <w:top w:w="60" w:type="dxa"/>
              <w:left w:w="100" w:type="dxa"/>
              <w:bottom w:w="60" w:type="dxa"/>
              <w:right w:w="100" w:type="dxa"/>
            </w:tcMar>
          </w:tcPr>
          <w:p w14:paraId="6917368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MarineTraffic</w:t>
            </w:r>
          </w:p>
        </w:tc>
        <w:tc>
          <w:tcPr>
            <w:tcW w:w="2800" w:type="dxa"/>
            <w:tcMar>
              <w:top w:w="60" w:type="dxa"/>
              <w:left w:w="100" w:type="dxa"/>
              <w:bottom w:w="60" w:type="dxa"/>
              <w:right w:w="100" w:type="dxa"/>
            </w:tcMar>
          </w:tcPr>
          <w:p w14:paraId="3A945C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Opción marítima para la fase productiva.</w:t>
            </w:r>
          </w:p>
        </w:tc>
        <w:tc>
          <w:tcPr>
            <w:tcW w:w="4660" w:type="dxa"/>
            <w:tcMar>
              <w:top w:w="60" w:type="dxa"/>
              <w:left w:w="100" w:type="dxa"/>
              <w:bottom w:w="60" w:type="dxa"/>
              <w:right w:w="100" w:type="dxa"/>
            </w:tcMar>
          </w:tcPr>
          <w:p w14:paraId="68A875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Permite integrar posiciones AIS, eventos, escalas portuarias y datos de buque. Modelo comercial.</w:t>
            </w:r>
          </w:p>
        </w:tc>
      </w:tr>
      <w:tr w:rsidR="00CE2DA2" w:rsidRPr="00317AA7" w14:paraId="765AFDB2" w14:textId="77777777">
        <w:tc>
          <w:tcPr>
            <w:tcW w:w="1900" w:type="dxa"/>
            <w:tcMar>
              <w:top w:w="60" w:type="dxa"/>
              <w:left w:w="100" w:type="dxa"/>
              <w:bottom w:w="60" w:type="dxa"/>
              <w:right w:w="100" w:type="dxa"/>
            </w:tcMar>
          </w:tcPr>
          <w:p w14:paraId="0B62F4A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VesselFinder</w:t>
            </w:r>
          </w:p>
        </w:tc>
        <w:tc>
          <w:tcPr>
            <w:tcW w:w="2800" w:type="dxa"/>
            <w:tcMar>
              <w:top w:w="60" w:type="dxa"/>
              <w:left w:w="100" w:type="dxa"/>
              <w:bottom w:w="60" w:type="dxa"/>
              <w:right w:w="100" w:type="dxa"/>
            </w:tcMar>
          </w:tcPr>
          <w:p w14:paraId="6E5143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Alternativa marítima comercial.</w:t>
            </w:r>
          </w:p>
        </w:tc>
        <w:tc>
          <w:tcPr>
            <w:tcW w:w="4660" w:type="dxa"/>
            <w:tcMar>
              <w:top w:w="60" w:type="dxa"/>
              <w:left w:w="100" w:type="dxa"/>
              <w:bottom w:w="60" w:type="dxa"/>
              <w:right w:w="100" w:type="dxa"/>
            </w:tcMar>
          </w:tcPr>
          <w:p w14:paraId="3EA5B6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Ofrece posiciones, datos de viaje, escalas portuarias e información de buque.</w:t>
            </w:r>
          </w:p>
        </w:tc>
      </w:tr>
      <w:tr w:rsidR="00CE2DA2" w:rsidRPr="00317AA7" w14:paraId="16757735" w14:textId="77777777">
        <w:tc>
          <w:tcPr>
            <w:tcW w:w="1900" w:type="dxa"/>
            <w:tcMar>
              <w:top w:w="60" w:type="dxa"/>
              <w:left w:w="100" w:type="dxa"/>
              <w:bottom w:w="60" w:type="dxa"/>
              <w:right w:w="100" w:type="dxa"/>
            </w:tcMar>
          </w:tcPr>
          <w:p w14:paraId="1BC388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FlightAware AeroAPI</w:t>
            </w:r>
          </w:p>
        </w:tc>
        <w:tc>
          <w:tcPr>
            <w:tcW w:w="2800" w:type="dxa"/>
            <w:tcMar>
              <w:top w:w="60" w:type="dxa"/>
              <w:left w:w="100" w:type="dxa"/>
              <w:bottom w:w="60" w:type="dxa"/>
              <w:right w:w="100" w:type="dxa"/>
            </w:tcMar>
          </w:tcPr>
          <w:p w14:paraId="37456F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Opción aérea para la fase productiva.</w:t>
            </w:r>
          </w:p>
        </w:tc>
        <w:tc>
          <w:tcPr>
            <w:tcW w:w="4660" w:type="dxa"/>
            <w:tcMar>
              <w:top w:w="60" w:type="dxa"/>
              <w:left w:w="100" w:type="dxa"/>
              <w:bottom w:w="60" w:type="dxa"/>
              <w:right w:w="100" w:type="dxa"/>
            </w:tcMar>
          </w:tcPr>
          <w:p w14:paraId="7DCF58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Permite estado, ETA, última posición, trayecto y alertas bajo modelo comercial.</w:t>
            </w:r>
          </w:p>
        </w:tc>
      </w:tr>
    </w:tbl>
    <w:p w14:paraId="336AF828" w14:textId="77777777" w:rsidR="00CE2DA2" w:rsidRPr="00317AA7" w:rsidRDefault="00CE2DA2">
      <w:pPr>
        <w:rPr>
          <w:rFonts w:ascii="Times New Roman" w:hAnsi="Times New Roman" w:cs="Times New Roman"/>
          <w:color w:val="auto"/>
        </w:rPr>
      </w:pPr>
    </w:p>
    <w:p w14:paraId="29BEF072" w14:textId="77777777" w:rsidR="00CE2DA2" w:rsidRPr="00317AA7" w:rsidRDefault="00D91203">
      <w:pPr>
        <w:pStyle w:val="Ttulo2"/>
        <w:rPr>
          <w:rFonts w:ascii="Times New Roman" w:hAnsi="Times New Roman" w:cs="Times New Roman"/>
          <w:color w:val="auto"/>
        </w:rPr>
      </w:pPr>
      <w:bookmarkStart w:id="54" w:name="_Toc237262877"/>
      <w:r>
        <w:rPr>
          <w:rFonts w:ascii="Times New Roman" w:hAnsi="Times New Roman" w:cs="Times New Roman"/>
          <w:color w:val="auto"/>
        </w:rPr>
        <w:t>C.2 Consideración crítica sobre el alcance del rastreo</w:t>
      </w:r>
      <w:bookmarkEnd w:id="54"/>
    </w:p>
    <w:p w14:paraId="49A2B5D3" w14:textId="77777777" w:rsidR="009349E4"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Las APIs de AIS rastrean embarcaciones, no mercancía. Si de un pedido sólo se conoce el número de contenedor, el conocimiento de embarque o el booking, no es posible resolver automáticamente qué nave lo transporta. Resolver ese vínculo exige una fuente adicional de container tracking, de carácter comercial, que queda fuera del alcance de esta práctica.</w:t>
      </w:r>
    </w:p>
    <w:p w14:paraId="345CD45B" w14:textId="378021F0"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Esta limitación es la razón de ser del estado Sin tracking definido en RN-02. El levantamiento con el área de Logística precisó su alcance real: la vía de transporte se decide durante la gestión de la compra, y el buque no se conoce hasta que se emite el conocimiento de embarque. Aun entonces, la nave consignada en el BL frecuentemente no es la que arriba a Costa Rica, porque la carga sufre transbordos en puertos intermedios. El ejemplo aportado por Logística describe un embarque que zarpa de Shanghái, se transborda en Taiwán con destino a Panamá y se transborda de nuevo en Panamá con destino a Costa Rica. Los transbordos sólo los notifica el transportista, y ninguna fuente automática dentro del alcance permite detectarlos.</w:t>
      </w:r>
    </w:p>
    <w:p w14:paraId="684B75A8"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En consecuencia, el identificador de nave de un pedido es un dato de mantenimiento manual a cargo de Logística durante todo el viaje, y no un dato estable capturado una sola vez. RF-26 y CU-10 recogen esa necesidad, y el modelo de datos la soporta mediante los tramos sucesivos de la entidad elementos_rastreados. No procede, por tanto, fijar un porcentaje de pedidos con identificador de nave disponible: en el proceso actual ningún pedido lo tiene antes de la emisión del conocimiento de embarque, y todos pueden tenerlo después si Logística lo registra y lo mantiene.</w:t>
      </w:r>
    </w:p>
    <w:p w14:paraId="31ED9CA0" w14:textId="77777777" w:rsidR="00CE2DA2" w:rsidRPr="00317AA7" w:rsidRDefault="00D91203">
      <w:pPr>
        <w:pStyle w:val="Ttulo2"/>
        <w:rPr>
          <w:rFonts w:ascii="Times New Roman" w:hAnsi="Times New Roman" w:cs="Times New Roman"/>
          <w:color w:val="auto"/>
        </w:rPr>
      </w:pPr>
      <w:bookmarkStart w:id="55" w:name="_Toc237262878"/>
      <w:r>
        <w:rPr>
          <w:rFonts w:ascii="Times New Roman" w:hAnsi="Times New Roman" w:cs="Times New Roman"/>
          <w:color w:val="auto"/>
        </w:rPr>
        <w:t>C.3 Enlaces de documentación</w:t>
      </w:r>
      <w:bookmarkEnd w:id="55"/>
    </w:p>
    <w:p w14:paraId="039E83D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AISStream: https://aisstream.io/documentation</w:t>
      </w:r>
    </w:p>
    <w:p w14:paraId="733571AD"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OpenSky Network: https://openskynetwork.github.io/opensky-api/</w:t>
      </w:r>
    </w:p>
    <w:p w14:paraId="6456E31F"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MarineTraffic: https://servicedocs.marinetraffic.com/</w:t>
      </w:r>
    </w:p>
    <w:p w14:paraId="7453FE0A"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VesselFinder: https://api.vesselfinder.com/docs/</w:t>
      </w:r>
    </w:p>
    <w:p w14:paraId="5545C768" w14:textId="25C0F772" w:rsidR="00CE2DA2"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 xml:space="preserve">FlightAware </w:t>
      </w:r>
      <w:proofErr w:type="spellStart"/>
      <w:r>
        <w:rPr>
          <w:rFonts w:ascii="Times New Roman" w:hAnsi="Times New Roman" w:cs="Times New Roman"/>
          <w:color w:val="auto"/>
          <w:lang w:val="en-US"/>
        </w:rPr>
        <w:t>AeroAPI</w:t>
      </w:r>
      <w:proofErr w:type="spellEnd"/>
      <w:r>
        <w:rPr>
          <w:rFonts w:ascii="Times New Roman" w:hAnsi="Times New Roman" w:cs="Times New Roman"/>
          <w:color w:val="auto"/>
          <w:lang w:val="en-US"/>
        </w:rPr>
        <w:t xml:space="preserve">: </w:t>
      </w:r>
      <w:hyperlink r:id="rId8" w:history="1">
        <w:r>
          <w:rPr>
            <w:rStyle w:val="Hipervnculo"/>
            <w:rFonts w:ascii="Times New Roman" w:hAnsi="Times New Roman" w:cs="Times New Roman"/>
            <w:lang w:val="en-US"/>
          </w:rPr>
          <w:t>https://www.flightaware.com/commercial/aeroapi/</w:t>
        </w:r>
      </w:hyperlink>
    </w:p>
    <w:p w14:paraId="4C42AF37" w14:textId="77777777" w:rsidR="00317AA7" w:rsidRDefault="00317AA7" w:rsidP="00317AA7">
      <w:pPr>
        <w:spacing w:after="80"/>
        <w:jc w:val="both"/>
        <w:rPr>
          <w:rFonts w:ascii="Times New Roman" w:hAnsi="Times New Roman" w:cs="Times New Roman"/>
          <w:color w:val="auto"/>
          <w:lang w:val="en-US"/>
        </w:rPr>
      </w:pPr>
    </w:p>
    <w:p w14:paraId="008F4EF7" w14:textId="77777777" w:rsidR="00317AA7" w:rsidRDefault="00317AA7" w:rsidP="00317AA7">
      <w:pPr>
        <w:spacing w:after="80"/>
        <w:jc w:val="both"/>
        <w:rPr>
          <w:rFonts w:ascii="Times New Roman" w:hAnsi="Times New Roman" w:cs="Times New Roman"/>
          <w:color w:val="auto"/>
          <w:lang w:val="en-US"/>
        </w:rPr>
      </w:pPr>
    </w:p>
    <w:p w14:paraId="4A74526E" w14:textId="77777777" w:rsidR="00317AA7" w:rsidRDefault="00317AA7" w:rsidP="00317AA7">
      <w:pPr>
        <w:spacing w:after="80"/>
        <w:jc w:val="both"/>
        <w:rPr>
          <w:rFonts w:ascii="Times New Roman" w:hAnsi="Times New Roman" w:cs="Times New Roman"/>
          <w:color w:val="auto"/>
          <w:lang w:val="en-US"/>
        </w:rPr>
      </w:pPr>
    </w:p>
    <w:p w14:paraId="4A79D88D" w14:textId="141367A9" w:rsidR="00317AA7" w:rsidRPr="00317AA7" w:rsidRDefault="00317AA7" w:rsidP="00317AA7">
      <w:pPr>
        <w:pStyle w:val="Ttulo1"/>
        <w:pageBreakBefore/>
        <w:rPr>
          <w:rFonts w:ascii="Times New Roman" w:hAnsi="Times New Roman" w:cs="Times New Roman"/>
          <w:color w:val="auto"/>
        </w:rPr>
      </w:pPr>
      <w:r>
        <w:rPr>
          <w:rFonts w:ascii="Times New Roman" w:hAnsi="Times New Roman" w:cs="Times New Roman"/>
          <w:color w:val="auto"/>
        </w:rPr>
        <w:lastRenderedPageBreak/>
        <w:t>Referencias Bibliográficas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317AA7" w:rsidRPr="00317AA7" w14:paraId="3CDBA1D6" w14:textId="77777777" w:rsidTr="004256C5">
        <w:tc>
          <w:tcPr>
            <w:tcW w:w="900" w:type="dxa"/>
            <w:tcMar>
              <w:top w:w="60" w:type="dxa"/>
              <w:left w:w="100" w:type="dxa"/>
              <w:bottom w:w="60" w:type="dxa"/>
              <w:right w:w="100" w:type="dxa"/>
            </w:tcMar>
          </w:tcPr>
          <w:p w14:paraId="576EE691"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[1]</w:t>
            </w:r>
          </w:p>
        </w:tc>
        <w:tc>
          <w:tcPr>
            <w:tcW w:w="8460" w:type="dxa"/>
            <w:tcMar>
              <w:top w:w="60" w:type="dxa"/>
              <w:left w:w="100" w:type="dxa"/>
              <w:bottom w:w="60" w:type="dxa"/>
              <w:right w:w="100" w:type="dxa"/>
            </w:tcMar>
          </w:tcPr>
          <w:p w14:paraId="54903F5C"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Mayorga Halabi, M. (2026). Formulario de presentación de anteproyecto de Práctica de Especialidad — TrackIn. Instituto Tecnológico de Costa Rica, Escuela de Ingeniería en Computación.</w:t>
            </w:r>
          </w:p>
        </w:tc>
      </w:tr>
      <w:tr w:rsidR="00317AA7" w:rsidRPr="00317AA7" w14:paraId="12477D88" w14:textId="77777777" w:rsidTr="004256C5">
        <w:tc>
          <w:tcPr>
            <w:tcW w:w="900" w:type="dxa"/>
            <w:tcMar>
              <w:top w:w="60" w:type="dxa"/>
              <w:left w:w="100" w:type="dxa"/>
              <w:bottom w:w="60" w:type="dxa"/>
              <w:right w:w="100" w:type="dxa"/>
            </w:tcMar>
          </w:tcPr>
          <w:p w14:paraId="50DC5A6B"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[2]</w:t>
            </w:r>
          </w:p>
        </w:tc>
        <w:tc>
          <w:tcPr>
            <w:tcW w:w="8460" w:type="dxa"/>
            <w:tcMar>
              <w:top w:w="60" w:type="dxa"/>
              <w:left w:w="100" w:type="dxa"/>
              <w:bottom w:w="60" w:type="dxa"/>
              <w:right w:w="100" w:type="dxa"/>
            </w:tcMar>
          </w:tcPr>
          <w:p w14:paraId="3085A63F"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Centro de Competencias, Laboratorios Gutis (2026). Documento Técnico-Funcional: Dashboard de Tracking Logístico para Compras en Tránsito, versión 1.0, 18 de junio de 2026.</w:t>
            </w:r>
          </w:p>
        </w:tc>
      </w:tr>
      <w:tr w:rsidR="00317AA7" w:rsidRPr="00317AA7" w14:paraId="0CFCCDA2" w14:textId="77777777" w:rsidTr="004256C5">
        <w:tc>
          <w:tcPr>
            <w:tcW w:w="900" w:type="dxa"/>
            <w:tcMar>
              <w:top w:w="60" w:type="dxa"/>
              <w:left w:w="100" w:type="dxa"/>
              <w:bottom w:w="60" w:type="dxa"/>
              <w:right w:w="100" w:type="dxa"/>
            </w:tcMar>
          </w:tcPr>
          <w:p w14:paraId="5BA77830"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[3]</w:t>
            </w:r>
          </w:p>
        </w:tc>
        <w:tc>
          <w:tcPr>
            <w:tcW w:w="8460" w:type="dxa"/>
            <w:tcMar>
              <w:top w:w="60" w:type="dxa"/>
              <w:left w:w="100" w:type="dxa"/>
              <w:bottom w:w="60" w:type="dxa"/>
              <w:right w:w="100" w:type="dxa"/>
            </w:tcMar>
          </w:tcPr>
          <w:p w14:paraId="42BAA29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lang w:val="en-US"/>
              </w:rPr>
              <w:t xml:space="preserve">IEEE (1998). IEEE Std 830-1998 — Recommended Practice for Software Requirements Specifications. </w:t>
            </w:r>
            <w:r>
              <w:rPr>
                <w:rFonts w:ascii="Times New Roman" w:hAnsi="Times New Roman" w:cs="Times New Roman"/>
                <w:color w:val="auto"/>
                <w:sz w:val="20"/>
                <w:szCs w:val="20"/>
              </w:rPr>
              <w:t>Institute of Electrical and Electronics Engineers.</w:t>
            </w:r>
          </w:p>
        </w:tc>
      </w:tr>
      <w:tr w:rsidR="00317AA7" w:rsidRPr="00317AA7" w14:paraId="2B1D9A58" w14:textId="77777777" w:rsidTr="004256C5">
        <w:tc>
          <w:tcPr>
            <w:tcW w:w="900" w:type="dxa"/>
            <w:tcMar>
              <w:top w:w="60" w:type="dxa"/>
              <w:left w:w="100" w:type="dxa"/>
              <w:bottom w:w="60" w:type="dxa"/>
              <w:right w:w="100" w:type="dxa"/>
            </w:tcMar>
          </w:tcPr>
          <w:p w14:paraId="5969719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[4]</w:t>
            </w:r>
          </w:p>
        </w:tc>
        <w:tc>
          <w:tcPr>
            <w:tcW w:w="8460" w:type="dxa"/>
            <w:tcMar>
              <w:top w:w="60" w:type="dxa"/>
              <w:left w:w="100" w:type="dxa"/>
              <w:bottom w:w="60" w:type="dxa"/>
              <w:right w:w="100" w:type="dxa"/>
            </w:tcMar>
          </w:tcPr>
          <w:p w14:paraId="3D38122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AISStream. Documentación de la API. https://aisstream.io/documentation</w:t>
            </w:r>
          </w:p>
        </w:tc>
      </w:tr>
      <w:tr w:rsidR="00317AA7" w:rsidRPr="00317AA7" w14:paraId="4A9566EC" w14:textId="77777777" w:rsidTr="004256C5">
        <w:tc>
          <w:tcPr>
            <w:tcW w:w="900" w:type="dxa"/>
            <w:tcMar>
              <w:top w:w="60" w:type="dxa"/>
              <w:left w:w="100" w:type="dxa"/>
              <w:bottom w:w="60" w:type="dxa"/>
              <w:right w:w="100" w:type="dxa"/>
            </w:tcMar>
          </w:tcPr>
          <w:p w14:paraId="29B6E794"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[5]</w:t>
            </w:r>
          </w:p>
        </w:tc>
        <w:tc>
          <w:tcPr>
            <w:tcW w:w="8460" w:type="dxa"/>
            <w:tcMar>
              <w:top w:w="60" w:type="dxa"/>
              <w:left w:w="100" w:type="dxa"/>
              <w:bottom w:w="60" w:type="dxa"/>
              <w:right w:w="100" w:type="dxa"/>
            </w:tcMar>
          </w:tcPr>
          <w:p w14:paraId="68DEE8C9"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OpenSky Network. Documentación de la API. https://openskynetwork.github.io/opensky-api/</w:t>
            </w:r>
          </w:p>
        </w:tc>
      </w:tr>
      <w:tr w:rsidR="00317AA7" w:rsidRPr="00573A30" w14:paraId="368686E7" w14:textId="77777777" w:rsidTr="004256C5">
        <w:tc>
          <w:tcPr>
            <w:tcW w:w="900" w:type="dxa"/>
            <w:tcMar>
              <w:top w:w="60" w:type="dxa"/>
              <w:left w:w="100" w:type="dxa"/>
              <w:bottom w:w="60" w:type="dxa"/>
              <w:right w:w="100" w:type="dxa"/>
            </w:tcMar>
          </w:tcPr>
          <w:p w14:paraId="609A47E5"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[6]</w:t>
            </w:r>
          </w:p>
        </w:tc>
        <w:tc>
          <w:tcPr>
            <w:tcW w:w="8460" w:type="dxa"/>
            <w:tcMar>
              <w:top w:w="60" w:type="dxa"/>
              <w:left w:w="100" w:type="dxa"/>
              <w:bottom w:w="60" w:type="dxa"/>
              <w:right w:w="100" w:type="dxa"/>
            </w:tcMar>
          </w:tcPr>
          <w:p w14:paraId="19C50611" w14:textId="77777777" w:rsidR="00317AA7" w:rsidRPr="00317AA7" w:rsidRDefault="00317AA7" w:rsidP="004256C5">
            <w:pPr>
              <w:rPr>
                <w:rFonts w:ascii="Times New Roman" w:hAnsi="Times New Roman" w:cs="Times New Roman"/>
                <w:color w:val="auto"/>
                <w:lang w:val="en-US"/>
              </w:rPr>
            </w:pPr>
            <w:r>
              <w:rPr>
                <w:rFonts w:ascii="Times New Roman" w:hAnsi="Times New Roman" w:cs="Times New Roman"/>
                <w:color w:val="auto"/>
                <w:sz w:val="20"/>
                <w:szCs w:val="20"/>
                <w:lang w:val="en-US"/>
              </w:rPr>
              <w:t>MarineTraffic. AIS API Documentation. https://servicedocs.marinetraffic.com/</w:t>
            </w:r>
          </w:p>
        </w:tc>
      </w:tr>
      <w:tr w:rsidR="00317AA7" w:rsidRPr="00573A30" w14:paraId="78926C31" w14:textId="77777777" w:rsidTr="004256C5">
        <w:tc>
          <w:tcPr>
            <w:tcW w:w="900" w:type="dxa"/>
            <w:tcMar>
              <w:top w:w="60" w:type="dxa"/>
              <w:left w:w="100" w:type="dxa"/>
              <w:bottom w:w="60" w:type="dxa"/>
              <w:right w:w="100" w:type="dxa"/>
            </w:tcMar>
          </w:tcPr>
          <w:p w14:paraId="61F225C1"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[7]</w:t>
            </w:r>
          </w:p>
        </w:tc>
        <w:tc>
          <w:tcPr>
            <w:tcW w:w="8460" w:type="dxa"/>
            <w:tcMar>
              <w:top w:w="60" w:type="dxa"/>
              <w:left w:w="100" w:type="dxa"/>
              <w:bottom w:w="60" w:type="dxa"/>
              <w:right w:w="100" w:type="dxa"/>
            </w:tcMar>
          </w:tcPr>
          <w:p w14:paraId="219F5527" w14:textId="77777777" w:rsidR="00317AA7" w:rsidRPr="00317AA7" w:rsidRDefault="00317AA7" w:rsidP="004256C5">
            <w:pPr>
              <w:rPr>
                <w:rFonts w:ascii="Times New Roman" w:hAnsi="Times New Roman" w:cs="Times New Roman"/>
                <w:color w:val="auto"/>
                <w:lang w:val="en-US"/>
              </w:rPr>
            </w:pPr>
            <w:r>
              <w:rPr>
                <w:rFonts w:ascii="Times New Roman" w:hAnsi="Times New Roman" w:cs="Times New Roman"/>
                <w:color w:val="auto"/>
                <w:sz w:val="20"/>
                <w:szCs w:val="20"/>
                <w:lang w:val="en-US"/>
              </w:rPr>
              <w:t>FlightAware. AeroAPI. https://www.flightaware.com/commercial/aeroapi/</w:t>
            </w:r>
          </w:p>
        </w:tc>
      </w:tr>
      <w:tr w:rsidR="00317AA7" w:rsidRPr="00573A30" w14:paraId="4A1F619B" w14:textId="77777777" w:rsidTr="004256C5">
        <w:tc>
          <w:tcPr>
            <w:tcW w:w="900" w:type="dxa"/>
            <w:tcMar>
              <w:top w:w="60" w:type="dxa"/>
              <w:left w:w="100" w:type="dxa"/>
              <w:bottom w:w="60" w:type="dxa"/>
              <w:right w:w="100" w:type="dxa"/>
            </w:tcMar>
          </w:tcPr>
          <w:p w14:paraId="244D8864"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[8]</w:t>
            </w:r>
          </w:p>
        </w:tc>
        <w:tc>
          <w:tcPr>
            <w:tcW w:w="8460" w:type="dxa"/>
            <w:tcMar>
              <w:top w:w="60" w:type="dxa"/>
              <w:left w:w="100" w:type="dxa"/>
              <w:bottom w:w="60" w:type="dxa"/>
              <w:right w:w="100" w:type="dxa"/>
            </w:tcMar>
          </w:tcPr>
          <w:p w14:paraId="4D763015" w14:textId="77777777" w:rsidR="00317AA7" w:rsidRPr="00317AA7" w:rsidRDefault="00317AA7" w:rsidP="004256C5">
            <w:pPr>
              <w:rPr>
                <w:rFonts w:ascii="Times New Roman" w:hAnsi="Times New Roman" w:cs="Times New Roman"/>
                <w:color w:val="auto"/>
                <w:lang w:val="pt-BR"/>
              </w:rPr>
            </w:pPr>
            <w:r>
              <w:rPr>
                <w:rFonts w:ascii="Times New Roman" w:hAnsi="Times New Roman" w:cs="Times New Roman"/>
                <w:color w:val="auto"/>
                <w:sz w:val="20"/>
                <w:szCs w:val="20"/>
                <w:lang w:val="pt-BR"/>
              </w:rPr>
              <w:t>VesselFinder. AIS API Documentation. https://api.vesselfinder.com/docs/</w:t>
            </w:r>
          </w:p>
        </w:tc>
      </w:tr>
    </w:tbl>
    <w:p w14:paraId="473BAD29" w14:textId="77777777" w:rsidR="00317AA7" w:rsidRPr="00317AA7" w:rsidRDefault="00317AA7" w:rsidP="00317AA7">
      <w:pPr>
        <w:spacing w:after="80"/>
        <w:jc w:val="both"/>
        <w:rPr>
          <w:rFonts w:ascii="Times New Roman" w:hAnsi="Times New Roman" w:cs="Times New Roman"/>
          <w:color w:val="auto"/>
          <w:lang w:val="pt-BR"/>
        </w:rPr>
      </w:pPr>
    </w:p>
    <w:sectPr w:rsidR="00317AA7" w:rsidRPr="00317AA7">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4C6CA" w14:textId="77777777" w:rsidR="00BD4DA3" w:rsidRDefault="00BD4DA3">
      <w:pPr>
        <w:spacing w:line="240" w:lineRule="auto"/>
      </w:pPr>
      <w:r>
        <w:separator/>
      </w:r>
    </w:p>
  </w:endnote>
  <w:endnote w:type="continuationSeparator" w:id="0">
    <w:p w14:paraId="65FC1699" w14:textId="77777777" w:rsidR="00BD4DA3" w:rsidRDefault="00BD4D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3896" w14:textId="5584C0CD" w:rsidR="00CE2DA2" w:rsidRDefault="00D91203">
    <w:pPr>
      <w:jc w:val="center"/>
    </w:pPr>
    <w:r w:rsidRPr="00317AA7">
      <w:rPr>
        <w:color w:val="666666"/>
        <w:sz w:val="16"/>
        <w:szCs w:val="16"/>
        <w:lang w:val="en-US"/>
      </w:rPr>
      <w:t xml:space="preserve">SRS </w:t>
    </w:r>
    <w:proofErr w:type="spellStart"/>
    <w:r w:rsidRPr="00317AA7">
      <w:rPr>
        <w:color w:val="666666"/>
        <w:sz w:val="16"/>
        <w:szCs w:val="16"/>
        <w:lang w:val="en-US"/>
      </w:rPr>
      <w:t>TrackIn</w:t>
    </w:r>
    <w:proofErr w:type="spellEnd"/>
    <w:r w:rsidRPr="00317AA7">
      <w:rPr>
        <w:color w:val="666666"/>
        <w:sz w:val="16"/>
        <w:szCs w:val="16"/>
        <w:lang w:val="en-US"/>
      </w:rPr>
      <w:t xml:space="preserve"> v0.1</w:t>
    </w:r>
    <w:r w:rsidR="00317AA7" w:rsidRPr="00317AA7">
      <w:rPr>
        <w:color w:val="666666"/>
        <w:sz w:val="16"/>
        <w:szCs w:val="16"/>
        <w:lang w:val="en-US"/>
      </w:rPr>
      <w:t>.</w:t>
    </w:r>
    <w:r w:rsidRPr="00317AA7">
      <w:rPr>
        <w:color w:val="666666"/>
        <w:sz w:val="16"/>
        <w:szCs w:val="16"/>
        <w:lang w:val="en-US"/>
      </w:rPr>
      <w:t xml:space="preserve"> Sprint 1</w:t>
    </w:r>
    <w:r w:rsidR="00317AA7" w:rsidRPr="00317AA7">
      <w:rPr>
        <w:color w:val="666666"/>
        <w:sz w:val="16"/>
        <w:szCs w:val="16"/>
        <w:lang w:val="en-US"/>
      </w:rPr>
      <w:t xml:space="preserve">. </w:t>
    </w:r>
    <w:r w:rsidRPr="00317AA7">
      <w:rPr>
        <w:color w:val="666666"/>
        <w:sz w:val="16"/>
        <w:szCs w:val="16"/>
        <w:lang w:val="en-US"/>
      </w:rPr>
      <w:t>Mariano Mayorga Halabi</w:t>
    </w:r>
    <w:r w:rsidR="00317AA7" w:rsidRPr="00317AA7">
      <w:rPr>
        <w:color w:val="666666"/>
        <w:sz w:val="16"/>
        <w:szCs w:val="16"/>
        <w:lang w:val="en-US"/>
      </w:rPr>
      <w:t xml:space="preserve">. </w:t>
    </w: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7F1AFD">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B8ED9" w14:textId="77777777" w:rsidR="00BD4DA3" w:rsidRDefault="00BD4DA3">
      <w:pPr>
        <w:spacing w:line="240" w:lineRule="auto"/>
      </w:pPr>
      <w:r>
        <w:separator/>
      </w:r>
    </w:p>
  </w:footnote>
  <w:footnote w:type="continuationSeparator" w:id="0">
    <w:p w14:paraId="07784CA8" w14:textId="77777777" w:rsidR="00BD4DA3" w:rsidRDefault="00BD4DA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86E08"/>
    <w:multiLevelType w:val="hybridMultilevel"/>
    <w:tmpl w:val="21401EF0"/>
    <w:lvl w:ilvl="0" w:tplc="3E76A798">
      <w:start w:val="1"/>
      <w:numFmt w:val="bullet"/>
      <w:lvlText w:val="●"/>
      <w:lvlJc w:val="left"/>
      <w:pPr>
        <w:ind w:left="720" w:hanging="360"/>
      </w:pPr>
    </w:lvl>
    <w:lvl w:ilvl="1" w:tplc="1D3A973E">
      <w:start w:val="1"/>
      <w:numFmt w:val="bullet"/>
      <w:lvlText w:val="○"/>
      <w:lvlJc w:val="left"/>
      <w:pPr>
        <w:ind w:left="1440" w:hanging="360"/>
      </w:pPr>
    </w:lvl>
    <w:lvl w:ilvl="2" w:tplc="9A24008E">
      <w:start w:val="1"/>
      <w:numFmt w:val="bullet"/>
      <w:lvlText w:val="■"/>
      <w:lvlJc w:val="left"/>
      <w:pPr>
        <w:ind w:left="2160" w:hanging="360"/>
      </w:pPr>
    </w:lvl>
    <w:lvl w:ilvl="3" w:tplc="8F2AE530">
      <w:start w:val="1"/>
      <w:numFmt w:val="bullet"/>
      <w:lvlText w:val="●"/>
      <w:lvlJc w:val="left"/>
      <w:pPr>
        <w:ind w:left="2880" w:hanging="360"/>
      </w:pPr>
    </w:lvl>
    <w:lvl w:ilvl="4" w:tplc="03CC26B2">
      <w:start w:val="1"/>
      <w:numFmt w:val="bullet"/>
      <w:lvlText w:val="○"/>
      <w:lvlJc w:val="left"/>
      <w:pPr>
        <w:ind w:left="3600" w:hanging="360"/>
      </w:pPr>
    </w:lvl>
    <w:lvl w:ilvl="5" w:tplc="F8EC02B8">
      <w:start w:val="1"/>
      <w:numFmt w:val="bullet"/>
      <w:lvlText w:val="■"/>
      <w:lvlJc w:val="left"/>
      <w:pPr>
        <w:ind w:left="4320" w:hanging="360"/>
      </w:pPr>
    </w:lvl>
    <w:lvl w:ilvl="6" w:tplc="891ECAEE">
      <w:start w:val="1"/>
      <w:numFmt w:val="bullet"/>
      <w:lvlText w:val="●"/>
      <w:lvlJc w:val="left"/>
      <w:pPr>
        <w:ind w:left="5040" w:hanging="360"/>
      </w:pPr>
    </w:lvl>
    <w:lvl w:ilvl="7" w:tplc="C944C552">
      <w:start w:val="1"/>
      <w:numFmt w:val="bullet"/>
      <w:lvlText w:val="●"/>
      <w:lvlJc w:val="left"/>
      <w:pPr>
        <w:ind w:left="5760" w:hanging="360"/>
      </w:pPr>
    </w:lvl>
    <w:lvl w:ilvl="8" w:tplc="66449A3C">
      <w:start w:val="1"/>
      <w:numFmt w:val="bullet"/>
      <w:lvlText w:val="●"/>
      <w:lvlJc w:val="left"/>
      <w:pPr>
        <w:ind w:left="6480" w:hanging="360"/>
      </w:pPr>
    </w:lvl>
  </w:abstractNum>
  <w:abstractNum w:abstractNumId="1" w15:restartNumberingAfterBreak="0">
    <w:nsid w:val="5E40159A"/>
    <w:multiLevelType w:val="hybridMultilevel"/>
    <w:tmpl w:val="CE5E70E4"/>
    <w:lvl w:ilvl="0" w:tplc="34425A14">
      <w:start w:val="1"/>
      <w:numFmt w:val="bullet"/>
      <w:lvlText w:val="•"/>
      <w:lvlJc w:val="left"/>
      <w:pPr>
        <w:ind w:left="460" w:hanging="260"/>
      </w:pPr>
    </w:lvl>
    <w:lvl w:ilvl="1" w:tplc="0B3A0B68">
      <w:numFmt w:val="decimal"/>
      <w:lvlText w:val=""/>
      <w:lvlJc w:val="left"/>
    </w:lvl>
    <w:lvl w:ilvl="2" w:tplc="D1262B74">
      <w:numFmt w:val="decimal"/>
      <w:lvlText w:val=""/>
      <w:lvlJc w:val="left"/>
    </w:lvl>
    <w:lvl w:ilvl="3" w:tplc="740C8020">
      <w:numFmt w:val="decimal"/>
      <w:lvlText w:val=""/>
      <w:lvlJc w:val="left"/>
    </w:lvl>
    <w:lvl w:ilvl="4" w:tplc="E564CCB8">
      <w:numFmt w:val="decimal"/>
      <w:lvlText w:val=""/>
      <w:lvlJc w:val="left"/>
    </w:lvl>
    <w:lvl w:ilvl="5" w:tplc="5F769764">
      <w:numFmt w:val="decimal"/>
      <w:lvlText w:val=""/>
      <w:lvlJc w:val="left"/>
    </w:lvl>
    <w:lvl w:ilvl="6" w:tplc="592ECF1A">
      <w:numFmt w:val="decimal"/>
      <w:lvlText w:val=""/>
      <w:lvlJc w:val="left"/>
    </w:lvl>
    <w:lvl w:ilvl="7" w:tplc="BF36FC8C">
      <w:numFmt w:val="decimal"/>
      <w:lvlText w:val=""/>
      <w:lvlJc w:val="left"/>
    </w:lvl>
    <w:lvl w:ilvl="8" w:tplc="22E28F88">
      <w:numFmt w:val="decimal"/>
      <w:lvlText w:val=""/>
      <w:lvlJc w:val="left"/>
    </w:lvl>
  </w:abstractNum>
  <w:num w:numId="1" w16cid:durableId="2056150615">
    <w:abstractNumId w:val="0"/>
    <w:lvlOverride w:ilvl="0">
      <w:startOverride w:val="1"/>
    </w:lvlOverride>
  </w:num>
  <w:num w:numId="2" w16cid:durableId="171685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A2"/>
    <w:rsid w:val="00096375"/>
    <w:rsid w:val="001328DD"/>
    <w:rsid w:val="00317AA7"/>
    <w:rsid w:val="003678FC"/>
    <w:rsid w:val="0038578F"/>
    <w:rsid w:val="003A0629"/>
    <w:rsid w:val="003D750F"/>
    <w:rsid w:val="004256C5"/>
    <w:rsid w:val="00434765"/>
    <w:rsid w:val="00573A30"/>
    <w:rsid w:val="00646D1C"/>
    <w:rsid w:val="00762ED0"/>
    <w:rsid w:val="00777E97"/>
    <w:rsid w:val="007F1AFD"/>
    <w:rsid w:val="009349E4"/>
    <w:rsid w:val="009D3FC6"/>
    <w:rsid w:val="00B732C9"/>
    <w:rsid w:val="00BD4DA3"/>
    <w:rsid w:val="00CE2DA2"/>
    <w:rsid w:val="00D91203"/>
    <w:rsid w:val="00DB3C92"/>
    <w:rsid w:val="00E320E8"/>
    <w:rsid w:val="00EB2151"/>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C56C40"/>
  <w15:docId w15:val="{F66D1337-D826-4AE9-9C80-1EFE06103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R"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60" w:after="180"/>
      <w:outlineLvl w:val="0"/>
    </w:pPr>
    <w:rPr>
      <w:rFonts w:ascii="Cambria" w:eastAsia="Cambria" w:hAnsi="Cambria" w:cs="Cambria"/>
      <w:b/>
      <w:bCs/>
      <w:color w:val="1F3864"/>
      <w:sz w:val="32"/>
      <w:szCs w:val="32"/>
    </w:rPr>
  </w:style>
  <w:style w:type="paragraph" w:styleId="Ttulo2">
    <w:name w:val="heading 2"/>
    <w:uiPriority w:val="9"/>
    <w:unhideWhenUsed/>
    <w:qFormat/>
    <w:pPr>
      <w:spacing w:before="280" w:after="140"/>
      <w:outlineLvl w:val="1"/>
    </w:pPr>
    <w:rPr>
      <w:rFonts w:ascii="Cambria" w:eastAsia="Cambria" w:hAnsi="Cambria" w:cs="Cambria"/>
      <w:b/>
      <w:bCs/>
      <w:color w:val="1F3864"/>
      <w:sz w:val="26"/>
      <w:szCs w:val="26"/>
    </w:rPr>
  </w:style>
  <w:style w:type="paragraph" w:styleId="Ttulo3">
    <w:name w:val="heading 3"/>
    <w:uiPriority w:val="9"/>
    <w:unhideWhenUsed/>
    <w:qFormat/>
    <w:pPr>
      <w:spacing w:before="220" w:after="120"/>
      <w:outlineLvl w:val="2"/>
    </w:pPr>
    <w:rPr>
      <w:rFonts w:ascii="Cambria" w:eastAsia="Cambria" w:hAnsi="Cambria" w:cs="Cambria"/>
      <w:b/>
      <w:bCs/>
      <w:color w:val="2E5496"/>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F1AFD"/>
    <w:pPr>
      <w:spacing w:after="100"/>
    </w:pPr>
  </w:style>
  <w:style w:type="paragraph" w:styleId="TDC2">
    <w:name w:val="toc 2"/>
    <w:basedOn w:val="Normal"/>
    <w:next w:val="Normal"/>
    <w:autoRedefine/>
    <w:uiPriority w:val="39"/>
    <w:unhideWhenUsed/>
    <w:rsid w:val="007F1AFD"/>
    <w:pPr>
      <w:spacing w:after="100"/>
      <w:ind w:left="220"/>
    </w:pPr>
  </w:style>
  <w:style w:type="paragraph" w:styleId="TDC3">
    <w:name w:val="toc 3"/>
    <w:basedOn w:val="Normal"/>
    <w:next w:val="Normal"/>
    <w:autoRedefine/>
    <w:uiPriority w:val="39"/>
    <w:unhideWhenUsed/>
    <w:rsid w:val="007F1AFD"/>
    <w:pPr>
      <w:spacing w:after="100"/>
      <w:ind w:left="440"/>
    </w:pPr>
  </w:style>
  <w:style w:type="paragraph" w:styleId="Encabezado">
    <w:name w:val="header"/>
    <w:basedOn w:val="Normal"/>
    <w:link w:val="EncabezadoCar"/>
    <w:uiPriority w:val="99"/>
    <w:unhideWhenUsed/>
    <w:rsid w:val="00317AA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17AA7"/>
  </w:style>
  <w:style w:type="paragraph" w:styleId="Piedepgina">
    <w:name w:val="footer"/>
    <w:basedOn w:val="Normal"/>
    <w:link w:val="PiedepginaCar"/>
    <w:uiPriority w:val="99"/>
    <w:unhideWhenUsed/>
    <w:rsid w:val="00317AA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17AA7"/>
  </w:style>
  <w:style w:type="character" w:styleId="Mencinsinresolver">
    <w:name w:val="Unresolved Mention"/>
    <w:basedOn w:val="Fuentedeprrafopredeter"/>
    <w:uiPriority w:val="99"/>
    <w:semiHidden/>
    <w:unhideWhenUsed/>
    <w:rsid w:val="00317AA7"/>
    <w:rPr>
      <w:color w:val="605E5C"/>
      <w:shd w:val="clear" w:color="auto" w:fill="E1DFDD"/>
    </w:rPr>
  </w:style>
  <w:style w:type="character" w:customStyle="1" w:styleId="Ttulo1Car">
    <w:name w:val="Título 1 Car"/>
    <w:basedOn w:val="Fuentedeprrafopredeter"/>
    <w:link w:val="Ttulo1"/>
    <w:uiPriority w:val="9"/>
    <w:rsid w:val="00317AA7"/>
    <w:rPr>
      <w:rFonts w:ascii="Cambria" w:eastAsia="Cambria" w:hAnsi="Cambria" w:cs="Cambria"/>
      <w:b/>
      <w:bCs/>
      <w:color w:val="1F386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flightaware.com/commercial/aeroap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48</Pages>
  <Words>14094</Words>
  <Characters>77523</Characters>
  <Application>Microsoft Office Word</Application>
  <DocSecurity>0</DocSecurity>
  <Lines>646</Lines>
  <Paragraphs>182</Paragraphs>
  <ScaleCrop>false</ScaleCrop>
  <HeadingPairs>
    <vt:vector size="2" baseType="variant">
      <vt:variant>
        <vt:lpstr>Título</vt:lpstr>
      </vt:variant>
      <vt:variant>
        <vt:i4>1</vt:i4>
      </vt:variant>
    </vt:vector>
  </HeadingPairs>
  <TitlesOfParts>
    <vt:vector size="1" baseType="lpstr">
      <vt:lpstr>SRS — TrackIn</vt:lpstr>
    </vt:vector>
  </TitlesOfParts>
  <Company/>
  <LinksUpToDate>false</LinksUpToDate>
  <CharactersWithSpaces>91435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TrackIn</dc:title>
  <dc:subject/>
  <dc:creator>Mariano Mayorga Halabi</dc:creator>
  <cp:keywords/>
  <dc:description/>
  <cp:lastModifiedBy>Mariano Mayorga</cp:lastModifiedBy>
  <cp:revision>3</cp:revision>
  <dcterms:created xsi:type="dcterms:W3CDTF">2026-08-10T19:59:00Z</dcterms:created>
  <dcterms:modified xsi:type="dcterms:W3CDTF">2026-08-14T15:52:00Z</dcterms:modified>
</cp:coreProperties>
</file>