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B"/>
          <w:sz w:val="32"/>
          <w:szCs w:val="32"/>
        </w:rPr>
        <w:t xml:space="preserve">PharmFoldMDK — How 82 Targets Become a Fit Set</w:t>
      </w:r>
    </w:p>
    <w:p>
      <w:pPr>
        <w:spacing w:after="30"/>
      </w:pPr>
      <w:r>
        <w:rPr>
          <w:i/>
          <w:iCs/>
          <w:color w:val="5A5A5A"/>
          <w:sz w:val="22"/>
          <w:szCs w:val="22"/>
        </w:rPr>
        <w:t xml:space="preserve">The four distinct reasons a target leaves the scoring set — and why “held out” is not one thing</w:t>
      </w:r>
    </w:p>
    <w:p>
      <w:pPr>
        <w:pBdr>
          <w:bottom w:val="single" w:color="1F4E5B" w:sz="6"/>
        </w:pBdr>
        <w:spacing w:after="200"/>
      </w:pPr>
      <w:r>
        <w:rPr>
          <w:color w:val="5A5A5A"/>
          <w:sz w:val="19"/>
          <w:szCs w:val="19"/>
        </w:rPr>
        <w:t xml:space="preserve">Companion reference to the deck · grounded in D-024 / D-021 / D-041 / F-004 · 2026</w:t>
      </w:r>
    </w:p>
    <w:p>
      <w:pPr>
        <w:pStyle w:val="Heading1"/>
        <w:spacing w:after="140" w:before="320"/>
      </w:pPr>
      <w:r>
        <w:rPr>
          <w:b/>
          <w:bCs/>
          <w:color w:val="1F4E5B"/>
          <w:sz w:val="30"/>
          <w:szCs w:val="30"/>
        </w:rPr>
        <w:t xml:space="preserve">Why this document exists</w:t>
      </w:r>
    </w:p>
    <w:p>
      <w:pPr>
        <w:spacing w:after="130" w:line="276"/>
      </w:pPr>
      <w:r>
        <w:rPr>
          <w:sz w:val="22"/>
          <w:szCs w:val="22"/>
        </w:rPr>
        <w:t xml:space="preserve">A reader who sees “82 targets, 12 in the fit set” asks the obvious question: </w:t>
      </w:r>
      <w:r>
        <w:rPr>
          <w:i/>
          <w:iCs/>
          <w:sz w:val="22"/>
          <w:szCs w:val="22"/>
        </w:rPr>
        <w:t xml:space="preserve">where did the other 70 go?</w:t>
      </w:r>
      <w:r>
        <w:rPr>
          <w:sz w:val="22"/>
          <w:szCs w:val="22"/>
        </w:rPr>
        <w:t xml:space="preserve"> The honest answer is that they left the scoring set for </w:t>
      </w:r>
      <w:r>
        <w:rPr>
          <w:b/>
          <w:bCs/>
          <w:sz w:val="22"/>
          <w:szCs w:val="22"/>
        </w:rPr>
        <w:t xml:space="preserve">four different reasons with four different logics</w:t>
      </w:r>
      <w:r>
        <w:rPr>
          <w:sz w:val="22"/>
          <w:szCs w:val="22"/>
        </w:rPr>
        <w:t xml:space="preserve">, and collapsing them into one word — “excluded,” or worse, “held out” — hides exactly the reasoning a grader should be able to inspect. This document names each exit, states its rule, gives its example, and explains why it is the </w:t>
      </w:r>
      <w:r>
        <w:rPr>
          <w:i/>
          <w:iCs/>
          <w:sz w:val="22"/>
          <w:szCs w:val="22"/>
        </w:rPr>
        <w:t xml:space="preserve">right</w:t>
      </w:r>
      <w:r>
        <w:rPr>
          <w:sz w:val="22"/>
          <w:szCs w:val="22"/>
        </w:rPr>
        <w:t xml:space="preserve"> thing to do rather than a convenient one.</w:t>
      </w:r>
    </w:p>
    <w:p>
      <w:pPr>
        <w:spacing w:after="130" w:line="276"/>
      </w:pPr>
      <w:r>
        <w:rPr>
          <w:b/>
          <w:bCs/>
          <w:sz w:val="22"/>
          <w:szCs w:val="22"/>
        </w:rPr>
        <w:t xml:space="preserve">The governing invariant, stated once: </w:t>
      </w:r>
      <w:r>
        <w:rPr>
          <w:sz w:val="22"/>
          <w:szCs w:val="22"/>
        </w:rPr>
        <w:t xml:space="preserve">every one of the 82 cohort targets lands in exactly one state, and the states sum to 82, always. This is not a narrative convention — it is a partition asserted by a test (D-024). A cohort of 82 that quietly becomes 69 would invalidate the comparison; the partition is what prevents that silently happening.</w:t>
      </w:r>
    </w:p>
    <w:p>
      <w:pPr>
        <w:pStyle w:val="Heading1"/>
        <w:spacing w:after="140" w:before="320"/>
      </w:pPr>
      <w:r>
        <w:rPr>
          <w:b/>
          <w:bCs/>
          <w:color w:val="1F4E5B"/>
          <w:sz w:val="30"/>
          <w:szCs w:val="30"/>
        </w:rPr>
        <w:t xml:space="preserve">The distinction that trips people up: held-out ≠ excluded ≠ unfolded</w:t>
      </w:r>
    </w:p>
    <w:p>
      <w:pPr>
        <w:spacing w:after="130" w:line="276"/>
      </w:pPr>
      <w:r>
        <w:rPr>
          <w:sz w:val="22"/>
          <w:szCs w:val="22"/>
        </w:rPr>
        <w:t xml:space="preserve">Three words get used loosely and mean different things. Pinning them: </w:t>
      </w:r>
    </w:p>
    <w:p>
      <w:pPr>
        <w:pStyle w:val="ListParagraph"/>
        <w:numPr>
          <w:ilvl w:val="0"/>
          <w:numId w:val="1"/>
        </w:numPr>
        <w:spacing w:after="80" w:line="268"/>
      </w:pPr>
      <w:r>
        <w:rPr>
          <w:b/>
          <w:bCs/>
          <w:color w:val="B14A3B"/>
          <w:sz w:val="22"/>
          <w:szCs w:val="22"/>
        </w:rPr>
        <w:t xml:space="preserve">Unfolded — </w:t>
      </w:r>
      <w:r>
        <w:rPr>
          <w:sz w:val="22"/>
          <w:szCs w:val="22"/>
        </w:rPr>
        <w:t xml:space="preserve">no structure was produced. A physical limit of the folding method. (MUC16, FAT2.)</w:t>
      </w:r>
    </w:p>
    <w:p>
      <w:pPr>
        <w:pStyle w:val="ListParagraph"/>
        <w:numPr>
          <w:ilvl w:val="0"/>
          <w:numId w:val="1"/>
        </w:numPr>
        <w:spacing w:after="80" w:line="268"/>
      </w:pPr>
      <w:r>
        <w:rPr>
          <w:b/>
          <w:bCs/>
          <w:color w:val="6A5688"/>
          <w:sz w:val="22"/>
          <w:szCs w:val="22"/>
        </w:rPr>
        <w:t xml:space="preserve">Excluded on confidence — </w:t>
      </w:r>
      <w:r>
        <w:rPr>
          <w:sz w:val="22"/>
          <w:szCs w:val="22"/>
        </w:rPr>
        <w:t xml:space="preserve">a structure was produced, but its confidence is below the trust floor, so its geometry is not used. (CXCR5.)</w:t>
      </w:r>
    </w:p>
    <w:p>
      <w:pPr>
        <w:pStyle w:val="ListParagraph"/>
        <w:numPr>
          <w:ilvl w:val="0"/>
          <w:numId w:val="1"/>
        </w:numPr>
        <w:spacing w:after="80" w:line="268"/>
      </w:pPr>
      <w:r>
        <w:rPr>
          <w:b/>
          <w:bCs/>
          <w:color w:val="0F6E78"/>
          <w:sz w:val="22"/>
          <w:szCs w:val="22"/>
        </w:rPr>
        <w:t xml:space="preserve">Held out — </w:t>
      </w:r>
      <w:r>
        <w:rPr>
          <w:sz w:val="22"/>
          <w:szCs w:val="22"/>
        </w:rPr>
        <w:t xml:space="preserve">a structure was produced and is trustworthy, but it was folded by a </w:t>
      </w:r>
      <w:r>
        <w:rPr>
          <w:i/>
          <w:iCs/>
          <w:sz w:val="22"/>
          <w:szCs w:val="22"/>
        </w:rPr>
        <w:t xml:space="preserve">different boundary method</w:t>
      </w:r>
      <w:r>
        <w:rPr>
          <w:sz w:val="22"/>
          <w:szCs w:val="22"/>
        </w:rPr>
        <w:t xml:space="preserve">, so its features are not comparable to the sliced-ECD set. It is set aside to protect the comparison, not because anything is wrong with it. (whole-method targets.)</w:t>
      </w:r>
    </w:p>
    <w:p>
      <w:pPr>
        <w:spacing w:after="130" w:line="276"/>
      </w:pPr>
      <w:r>
        <w:rPr>
          <w:b/>
          <w:bCs/>
          <w:sz w:val="22"/>
          <w:szCs w:val="22"/>
        </w:rPr>
        <w:t xml:space="preserve">And the one that is not a reason at all: </w:t>
      </w:r>
      <w:r>
        <w:rPr>
          <w:sz w:val="22"/>
          <w:szCs w:val="22"/>
        </w:rPr>
        <w:t xml:space="preserve">the compute </w:t>
      </w:r>
      <w:r>
        <w:rPr>
          <w:b/>
          <w:bCs/>
          <w:i/>
          <w:iCs/>
          <w:sz w:val="22"/>
          <w:szCs w:val="22"/>
        </w:rPr>
        <w:t xml:space="preserve">tier</w:t>
      </w:r>
      <w:r>
        <w:rPr>
          <w:sz w:val="22"/>
          <w:szCs w:val="22"/>
        </w:rPr>
        <w:t xml:space="preserve"> a target was folded on (local vs. rented GPU) is </w:t>
      </w:r>
      <w:r>
        <w:rPr>
          <w:b/>
          <w:bCs/>
          <w:sz w:val="22"/>
          <w:szCs w:val="22"/>
        </w:rPr>
        <w:t xml:space="preserve">orthogonal</w:t>
      </w:r>
      <w:r>
        <w:rPr>
          <w:sz w:val="22"/>
          <w:szCs w:val="22"/>
        </w:rPr>
        <w:t xml:space="preserve"> to all three. A big protein folded on a rented A6000 is fully ranked. A target is never held out for being large or expensive — only for method-incomparability. Conflating tier with held-out status was a real error caught during the D-024 ruling, and a test now pins against its recurrence.</w:t>
      </w:r>
    </w:p>
    <w:p>
      <w:pPr>
        <w:pStyle w:val="Heading1"/>
        <w:spacing w:after="140" w:before="320"/>
      </w:pPr>
      <w:r>
        <w:rPr>
          <w:b/>
          <w:bCs/>
          <w:color w:val="1F4E5B"/>
          <w:sz w:val="30"/>
          <w:szCs w:val="30"/>
        </w:rPr>
        <w:t xml:space="preserve">The four exits, in depth</w:t>
      </w:r>
    </w:p>
    <w:p>
      <w:pPr>
        <w:pStyle w:val="Heading2"/>
        <w:spacing w:after="100" w:before="240"/>
      </w:pPr>
      <w:r>
        <w:rPr>
          <w:b/>
          <w:bCs/>
          <w:color w:val="B14A3B"/>
          <w:sz w:val="25"/>
          <w:szCs w:val="25"/>
        </w:rPr>
        <w:t xml:space="preserve">1 · Unfoldable — a physical limit  (MUC16, FAT2)</w:t>
      </w:r>
    </w:p>
    <w:p>
      <w:pPr>
        <w:spacing w:after="130" w:line="276"/>
      </w:pPr>
      <w:r>
        <w:rPr>
          <w:b/>
          <w:bCs/>
          <w:sz w:val="22"/>
          <w:szCs w:val="22"/>
        </w:rPr>
        <w:t xml:space="preserve">Rule: </w:t>
      </w:r>
      <w:r>
        <w:rPr>
          <w:sz w:val="22"/>
          <w:szCs w:val="22"/>
        </w:rPr>
        <w:t xml:space="preserve">the target cannot be folded as a single sequence on any available hardware, so no structure enters the pipeline at all.</w:t>
      </w:r>
    </w:p>
    <w:p>
      <w:pPr>
        <w:spacing w:after="130" w:line="276"/>
      </w:pPr>
      <w:r>
        <w:rPr>
          <w:sz w:val="22"/>
          <w:szCs w:val="22"/>
        </w:rPr>
        <w:t xml:space="preserve">MUC16 is 14,451 aa — roughly 30× the local ceiling — and largely intrinsically disordered (a tandem-repeat mucin). FAT2 is 4,030 aa. ESMFold's memory scales roughly quadratically with sequence length, so </w:t>
      </w:r>
      <w:r>
        <w:rPr>
          <w:b/>
          <w:bCs/>
          <w:sz w:val="22"/>
          <w:szCs w:val="22"/>
        </w:rPr>
        <w:t xml:space="preserve">bigger hardware does not solve it</w:t>
      </w:r>
      <w:r>
        <w:rPr>
          <w:sz w:val="22"/>
          <w:szCs w:val="22"/>
        </w:rPr>
        <w:t xml:space="preserve"> — an 80 GB card buys perhaps 1.5× the length over a 48 GB one; there is no card that reaches MUC16. This is a property of the method, stated as a finding, not an apology: protein size is a real constraint on structure-based screening, and for MUC16 (CA-125, the most-used ovarian-cancer biomarker in clinical practice) the constraint is biological, not budgetary. See the separate “last three targets” plan for the domain-decomposition route that could extend the method.</w:t>
      </w:r>
    </w:p>
    <w:p>
      <w:pPr>
        <w:pStyle w:val="Heading2"/>
        <w:spacing w:after="100" w:before="240"/>
      </w:pPr>
      <w:r>
        <w:rPr>
          <w:b/>
          <w:bCs/>
          <w:color w:val="6A5688"/>
          <w:sz w:val="25"/>
          <w:szCs w:val="25"/>
        </w:rPr>
        <w:t xml:space="preserve">2 · Below the pLDDT floor — a confidence gate  (CXCR5)</w:t>
      </w:r>
    </w:p>
    <w:p>
      <w:pPr>
        <w:spacing w:after="130" w:line="276"/>
      </w:pPr>
      <w:r>
        <w:rPr>
          <w:b/>
          <w:bCs/>
          <w:sz w:val="22"/>
          <w:szCs w:val="22"/>
        </w:rPr>
        <w:t xml:space="preserve">Rule: </w:t>
      </w:r>
      <w:r>
        <w:rPr>
          <w:sz w:val="22"/>
          <w:szCs w:val="22"/>
        </w:rPr>
        <w:t xml:space="preserve">the target folded, but its mean pLDDT is below 50 (D-041 §5), so its geometry is not trustworthy enough to score.</w:t>
      </w:r>
    </w:p>
    <w:p>
      <w:pPr>
        <w:spacing w:after="130" w:line="276"/>
      </w:pPr>
      <w:r>
        <w:rPr>
          <w:sz w:val="22"/>
          <w:szCs w:val="22"/>
        </w:rPr>
        <w:t xml:space="preserve">CXCR5 folded to a mean pLDDT of 47.63 — just under the floor. The structure exists, but low confidence means the six geometric features derived from it would be measuring noise, not shape. The floor of 50 is an AlphaFold/ESMFold convention, applied </w:t>
      </w:r>
      <w:r>
        <w:rPr>
          <w:i/>
          <w:iCs/>
          <w:sz w:val="22"/>
          <w:szCs w:val="22"/>
        </w:rPr>
        <w:t xml:space="preserve">before</w:t>
      </w:r>
      <w:r>
        <w:rPr>
          <w:sz w:val="22"/>
          <w:szCs w:val="22"/>
        </w:rPr>
        <w:t xml:space="preserve"> any target is scored, not after seeing which way it would rank — a pre-registered gate, so it cannot be tuned to include or exclude a convenient target. This is distinct from unfoldable (a structure was produced) and from held-out (the structure is trustworthy but method-incomparable). It is purely a quality gate on the features.</w:t>
      </w:r>
    </w:p>
    <w:p>
      <w:pPr>
        <w:pStyle w:val="Heading2"/>
        <w:spacing w:after="100" w:before="240"/>
      </w:pPr>
      <w:r>
        <w:rPr>
          <w:b/>
          <w:bCs/>
          <w:color w:val="0F6E78"/>
          <w:sz w:val="25"/>
          <w:szCs w:val="25"/>
        </w:rPr>
        <w:t xml:space="preserve">3 · Held out — the comparability firewall  (whole-method targets, e.g. MSLN)</w:t>
      </w:r>
    </w:p>
    <w:p>
      <w:pPr>
        <w:spacing w:after="130" w:line="276"/>
      </w:pPr>
      <w:r>
        <w:rPr>
          <w:b/>
          <w:bCs/>
          <w:sz w:val="22"/>
          <w:szCs w:val="22"/>
        </w:rPr>
        <w:t xml:space="preserve">Rule: </w:t>
      </w:r>
      <w:r>
        <w:rPr>
          <w:sz w:val="22"/>
          <w:szCs w:val="22"/>
        </w:rPr>
        <w:t xml:space="preserve">the target folded and is trustworthy, but its ECD boundary was determined by the </w:t>
      </w:r>
      <w:r>
        <w:rPr>
          <w:i/>
          <w:iCs/>
          <w:sz w:val="22"/>
          <w:szCs w:val="22"/>
        </w:rPr>
        <w:t xml:space="preserve">whole</w:t>
      </w:r>
      <w:r>
        <w:rPr>
          <w:sz w:val="22"/>
          <w:szCs w:val="22"/>
        </w:rPr>
        <w:t xml:space="preserve">-chain method rather than sliced from a UniProt topological annotation (</w:t>
      </w:r>
      <w:r>
        <w:rPr>
          <w:i/>
          <w:iCs/>
          <w:sz w:val="22"/>
          <w:szCs w:val="22"/>
        </w:rPr>
        <w:t xml:space="preserve">sliced_ecd</w:t>
      </w:r>
      <w:r>
        <w:rPr>
          <w:sz w:val="22"/>
          <w:szCs w:val="22"/>
        </w:rPr>
        <w:t xml:space="preserve">). Feature 4 (membrane-proximal pLDDT) is not comparable across the two methods, so the target is held out of the cross-method ranking (D-021 §1a).</w:t>
      </w:r>
    </w:p>
    <w:p>
      <w:pPr>
        <w:spacing w:after="130" w:line="276"/>
      </w:pPr>
      <w:r>
        <w:rPr>
          <w:sz w:val="22"/>
          <w:szCs w:val="22"/>
        </w:rPr>
        <w:t xml:space="preserve">This is the subtle one, and the most methodologically careful. Membrane-proximal pLDDT depends on knowing </w:t>
      </w:r>
      <w:r>
        <w:rPr>
          <w:i/>
          <w:iCs/>
          <w:sz w:val="22"/>
          <w:szCs w:val="22"/>
        </w:rPr>
        <w:t xml:space="preserve">where the membrane is</w:t>
      </w:r>
      <w:r>
        <w:rPr>
          <w:sz w:val="22"/>
          <w:szCs w:val="22"/>
        </w:rPr>
        <w:t xml:space="preserve"> — which is exactly what the topological annotation provides for a </w:t>
      </w:r>
      <w:r>
        <w:rPr>
          <w:i/>
          <w:iCs/>
          <w:sz w:val="22"/>
          <w:szCs w:val="22"/>
        </w:rPr>
        <w:t xml:space="preserve">sliced_ecd</w:t>
      </w:r>
      <w:r>
        <w:rPr>
          <w:sz w:val="22"/>
          <w:szCs w:val="22"/>
        </w:rPr>
        <w:t xml:space="preserve"> target and does not provide for a </w:t>
      </w:r>
      <w:r>
        <w:rPr>
          <w:i/>
          <w:iCs/>
          <w:sz w:val="22"/>
          <w:szCs w:val="22"/>
        </w:rPr>
        <w:t xml:space="preserve">whole</w:t>
      </w:r>
      <w:r>
        <w:rPr>
          <w:sz w:val="22"/>
          <w:szCs w:val="22"/>
        </w:rPr>
        <w:t xml:space="preserve">-method one. Ranking a whole-method target's membrane-proximal feature against sliced-ECD targets would be comparing a value measured one way against values measured another — apples to oranges. The extractor is required to </w:t>
      </w:r>
      <w:r>
        <w:rPr>
          <w:i/>
          <w:iCs/>
          <w:sz w:val="22"/>
          <w:szCs w:val="22"/>
        </w:rPr>
        <w:t xml:space="preserve">not silently compute it as though it were comparable</w:t>
      </w:r>
      <w:r>
        <w:rPr>
          <w:sz w:val="22"/>
          <w:szCs w:val="22"/>
        </w:rPr>
        <w:t xml:space="preserve"> (D-027). Holding these targets out is the honest move: they are real, trustworthy folds, set aside from </w:t>
      </w:r>
      <w:r>
        <w:rPr>
          <w:i/>
          <w:iCs/>
          <w:sz w:val="22"/>
          <w:szCs w:val="22"/>
        </w:rPr>
        <w:t xml:space="preserve">one specific comparison</w:t>
      </w:r>
      <w:r>
        <w:rPr>
          <w:sz w:val="22"/>
          <w:szCs w:val="22"/>
        </w:rPr>
        <w:t xml:space="preserve"> because that comparison would not be valid — not discarded, and reachable in the UI with their reason. MSLN and GPC1 route to </w:t>
      </w:r>
      <w:r>
        <w:rPr>
          <w:i/>
          <w:iCs/>
          <w:sz w:val="22"/>
          <w:szCs w:val="22"/>
        </w:rPr>
        <w:t xml:space="preserve">whole</w:t>
      </w:r>
      <w:r>
        <w:rPr>
          <w:sz w:val="22"/>
          <w:szCs w:val="22"/>
        </w:rPr>
        <w:t xml:space="preserve"> (their GPI-anchor handling was deferred, D-023 ii), which is why they are held out rather than ranked.</w:t>
      </w:r>
    </w:p>
    <w:p>
      <w:pPr>
        <w:pStyle w:val="Heading2"/>
        <w:spacing w:after="100" w:before="240"/>
      </w:pPr>
      <w:r>
        <w:rPr>
          <w:b/>
          <w:bCs/>
          <w:color w:val="2E7D5B"/>
          <w:sz w:val="25"/>
          <w:szCs w:val="25"/>
        </w:rPr>
        <w:t xml:space="preserve">4 · The scoring design itself — leave-one-out  (all 12 positives)</w:t>
      </w:r>
    </w:p>
    <w:p>
      <w:pPr>
        <w:spacing w:after="130" w:line="276"/>
      </w:pPr>
      <w:r>
        <w:rPr>
          <w:b/>
          <w:bCs/>
          <w:sz w:val="22"/>
          <w:szCs w:val="22"/>
        </w:rPr>
        <w:t xml:space="preserve">Rule: </w:t>
      </w:r>
      <w:r>
        <w:rPr>
          <w:sz w:val="22"/>
          <w:szCs w:val="22"/>
        </w:rPr>
        <w:t xml:space="preserve">within the 12 labelled positives, each target is scored by a model fit on the other 11 — it never sees itself.</w:t>
      </w:r>
    </w:p>
    <w:p>
      <w:pPr>
        <w:spacing w:after="130" w:line="276"/>
      </w:pPr>
      <w:r>
        <w:rPr>
          <w:sz w:val="22"/>
          <w:szCs w:val="22"/>
        </w:rPr>
        <w:t xml:space="preserve">This is not an exit from the cohort but a property of how the 12 are scored, and it belongs here because it is the last thing that shapes the numbers a reader sees. Leave-one-out (LOO) means the percentile reported for, say, NECTIN4 comes from a model that was never shown NECTIN4's label. It is what makes the result an out-of-sample estimate rather than a memorised one. It also carries a conservative bias worth naming: each held-out positive is ranked among a pool that still contains the 11 training positives the model was fit to score highly, which pushes held-out percentiles </w:t>
      </w:r>
      <w:r>
        <w:rPr>
          <w:i/>
          <w:iCs/>
          <w:sz w:val="22"/>
          <w:szCs w:val="22"/>
        </w:rPr>
        <w:t xml:space="preserve">down</w:t>
      </w:r>
      <w:r>
        <w:rPr>
          <w:sz w:val="22"/>
          <w:szCs w:val="22"/>
        </w:rPr>
        <w:t xml:space="preserve"> — the design understates rather than overstates (F-004 caveat a).</w:t>
      </w:r>
    </w:p>
    <w:p>
      <w:pPr>
        <w:pStyle w:val="Heading1"/>
        <w:spacing w:after="140" w:before="320"/>
      </w:pPr>
      <w:r>
        <w:rPr>
          <w:b/>
          <w:bCs/>
          <w:color w:val="1F4E5B"/>
          <w:sz w:val="30"/>
          <w:szCs w:val="30"/>
        </w:rPr>
        <w:t xml:space="preserve">The four exits, at a glance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3260"/>
        <w:gridCol w:w="2650"/>
      </w:tblGrid>
      <w:tr>
        <w:trPr>
          <w:tblHeader/>
        </w:trPr>
        <w:tc>
          <w:tcPr>
            <w:tcW w:type="dxa" w:w="1500"/>
            <w:tcBorders>
              <w:top w:val="single" w:color="D0D0D0" w:sz="4"/>
              <w:left w:val="single" w:color="D0D0D0" w:sz="4"/>
              <w:bottom w:val="single" w:color="D0D0D0" w:sz="4"/>
              <w:right w:val="single" w:color="D0D0D0" w:sz="4"/>
            </w:tcBorders>
            <w:shd w:fill="1F4E5B" w:color="auto" w:val="clear"/>
            <w:tcMar>
              <w:top w:type="dxa" w:w="70"/>
              <w:left w:type="dxa" w:w="90"/>
              <w:bottom w:type="dxa" w:w="70"/>
              <w:right w:type="dxa" w:w="90"/>
            </w:tcMar>
          </w:tcPr>
          <w:p>
            <w:r>
              <w:rPr>
                <w:b/>
                <w:bCs/>
                <w:color w:val="FFFFFF"/>
                <w:sz w:val="18"/>
                <w:szCs w:val="18"/>
              </w:rPr>
              <w:t xml:space="preserve">Exit</w:t>
            </w:r>
          </w:p>
        </w:tc>
        <w:tc>
          <w:tcPr>
            <w:tcW w:type="dxa" w:w="1350"/>
            <w:tcBorders>
              <w:top w:val="single" w:color="D0D0D0" w:sz="4"/>
              <w:left w:val="single" w:color="D0D0D0" w:sz="4"/>
              <w:bottom w:val="single" w:color="D0D0D0" w:sz="4"/>
              <w:right w:val="single" w:color="D0D0D0" w:sz="4"/>
            </w:tcBorders>
            <w:shd w:fill="1F4E5B" w:color="auto" w:val="clear"/>
            <w:tcMar>
              <w:top w:type="dxa" w:w="70"/>
              <w:left w:type="dxa" w:w="90"/>
              <w:bottom w:type="dxa" w:w="70"/>
              <w:right w:type="dxa" w:w="90"/>
            </w:tcMar>
          </w:tcPr>
          <w:p>
            <w:r>
              <w:rPr>
                <w:b/>
                <w:bCs/>
                <w:color w:val="FFFFFF"/>
                <w:sz w:val="18"/>
                <w:szCs w:val="18"/>
              </w:rPr>
              <w:t xml:space="preserve">Class</w:t>
            </w:r>
          </w:p>
        </w:tc>
        <w:tc>
          <w:tcPr>
            <w:tcW w:type="dxa" w:w="3260"/>
            <w:tcBorders>
              <w:top w:val="single" w:color="D0D0D0" w:sz="4"/>
              <w:left w:val="single" w:color="D0D0D0" w:sz="4"/>
              <w:bottom w:val="single" w:color="D0D0D0" w:sz="4"/>
              <w:right w:val="single" w:color="D0D0D0" w:sz="4"/>
            </w:tcBorders>
            <w:shd w:fill="1F4E5B" w:color="auto" w:val="clear"/>
            <w:tcMar>
              <w:top w:type="dxa" w:w="70"/>
              <w:left w:type="dxa" w:w="90"/>
              <w:bottom w:type="dxa" w:w="70"/>
              <w:right w:type="dxa" w:w="90"/>
            </w:tcMar>
          </w:tcPr>
          <w:p>
            <w:r>
              <w:rPr>
                <w:b/>
                <w:bCs/>
                <w:color w:val="FFFFFF"/>
                <w:sz w:val="18"/>
                <w:szCs w:val="18"/>
              </w:rPr>
              <w:t xml:space="preserve">Rule</w:t>
            </w:r>
          </w:p>
        </w:tc>
        <w:tc>
          <w:tcPr>
            <w:tcW w:type="dxa" w:w="2650"/>
            <w:tcBorders>
              <w:top w:val="single" w:color="D0D0D0" w:sz="4"/>
              <w:left w:val="single" w:color="D0D0D0" w:sz="4"/>
              <w:bottom w:val="single" w:color="D0D0D0" w:sz="4"/>
              <w:right w:val="single" w:color="D0D0D0" w:sz="4"/>
            </w:tcBorders>
            <w:shd w:fill="1F4E5B" w:color="auto" w:val="clear"/>
            <w:tcMar>
              <w:top w:type="dxa" w:w="70"/>
              <w:left w:type="dxa" w:w="90"/>
              <w:bottom w:type="dxa" w:w="70"/>
              <w:right w:type="dxa" w:w="90"/>
            </w:tcMar>
          </w:tcPr>
          <w:p>
            <w:r>
              <w:rPr>
                <w:b/>
                <w:bCs/>
                <w:color w:val="FFFFFF"/>
                <w:sz w:val="18"/>
                <w:szCs w:val="18"/>
              </w:rPr>
              <w:t xml:space="preserve">Example &amp; why it's right</w:t>
            </w:r>
          </w:p>
        </w:tc>
      </w:tr>
      <w:tr>
        <w:tc>
          <w:tcPr>
            <w:tcW w:type="dxa" w:w="1500"/>
            <w:tcBorders>
              <w:top w:val="single" w:color="D0D0D0" w:sz="4"/>
              <w:left w:val="single" w:color="D0D0D0" w:sz="4"/>
              <w:bottom w:val="single" w:color="D0D0D0" w:sz="4"/>
              <w:right w:val="single" w:color="D0D0D0" w:sz="4"/>
            </w:tcBorders>
            <w:shd w:fill="FBEEEA" w:color="auto" w:val="clear"/>
            <w:tcMar>
              <w:top w:type="dxa" w:w="60"/>
              <w:left w:type="dxa" w:w="90"/>
              <w:bottom w:type="dxa" w:w="60"/>
              <w:right w:type="dxa" w:w="90"/>
            </w:tcMar>
          </w:tcPr>
          <w:p>
            <w:r>
              <w:rPr>
                <w:b/>
                <w:bCs/>
                <w:sz w:val="18"/>
                <w:szCs w:val="18"/>
              </w:rPr>
              <w:t xml:space="preserve">Unfoldable</w:t>
            </w:r>
          </w:p>
        </w:tc>
        <w:tc>
          <w:tcPr>
            <w:tcW w:type="dxa" w:w="1350"/>
            <w:tcBorders>
              <w:top w:val="single" w:color="D0D0D0" w:sz="4"/>
              <w:left w:val="single" w:color="D0D0D0" w:sz="4"/>
              <w:bottom w:val="single" w:color="D0D0D0" w:sz="4"/>
              <w:right w:val="single" w:color="D0D0D0" w:sz="4"/>
            </w:tcBorders>
            <w:shd w:fill="FBEEEA" w:color="auto" w:val="clear"/>
            <w:tcMar>
              <w:top w:type="dxa" w:w="60"/>
              <w:left w:type="dxa" w:w="90"/>
              <w:bottom w:type="dxa" w:w="60"/>
              <w:right w:type="dxa" w:w="90"/>
            </w:tcMar>
          </w:tcPr>
          <w:p>
            <w:r>
              <w:rPr>
                <w:sz w:val="18"/>
                <w:szCs w:val="18"/>
              </w:rPr>
              <w:t xml:space="preserve">Physical limit</w:t>
            </w:r>
          </w:p>
        </w:tc>
        <w:tc>
          <w:tcPr>
            <w:tcW w:type="dxa" w:w="3260"/>
            <w:tcBorders>
              <w:top w:val="single" w:color="D0D0D0" w:sz="4"/>
              <w:left w:val="single" w:color="D0D0D0" w:sz="4"/>
              <w:bottom w:val="single" w:color="D0D0D0" w:sz="4"/>
              <w:right w:val="single" w:color="D0D0D0" w:sz="4"/>
            </w:tcBorders>
            <w:shd w:fill="FBEEEA" w:color="auto" w:val="clear"/>
            <w:tcMar>
              <w:top w:type="dxa" w:w="60"/>
              <w:left w:type="dxa" w:w="90"/>
              <w:bottom w:type="dxa" w:w="60"/>
              <w:right w:type="dxa" w:w="90"/>
            </w:tcMar>
          </w:tcPr>
          <w:p>
            <w:r>
              <w:rPr>
                <w:sz w:val="18"/>
                <w:szCs w:val="18"/>
              </w:rPr>
              <w:t xml:space="preserve">No structure produced — too large/disordered to fold as one sequence</w:t>
            </w:r>
          </w:p>
        </w:tc>
        <w:tc>
          <w:tcPr>
            <w:tcW w:type="dxa" w:w="2650"/>
            <w:tcBorders>
              <w:top w:val="single" w:color="D0D0D0" w:sz="4"/>
              <w:left w:val="single" w:color="D0D0D0" w:sz="4"/>
              <w:bottom w:val="single" w:color="D0D0D0" w:sz="4"/>
              <w:right w:val="single" w:color="D0D0D0" w:sz="4"/>
            </w:tcBorders>
            <w:shd w:fill="FBEEEA" w:color="auto" w:val="clear"/>
            <w:tcMar>
              <w:top w:type="dxa" w:w="60"/>
              <w:left w:type="dxa" w:w="90"/>
              <w:bottom w:type="dxa" w:w="60"/>
              <w:right w:type="dxa" w:w="90"/>
            </w:tcMar>
          </w:tcPr>
          <w:p>
            <w:r>
              <w:rPr>
                <w:sz w:val="18"/>
                <w:szCs w:val="18"/>
              </w:rPr>
              <w:t xml:space="preserve">MUC16, FAT2. A method limit stated as a finding, not hidden.</w:t>
            </w:r>
          </w:p>
        </w:tc>
      </w:tr>
      <w:tr>
        <w:tc>
          <w:tcPr>
            <w:tcW w:type="dxa" w:w="1500"/>
            <w:tcBorders>
              <w:top w:val="single" w:color="D0D0D0" w:sz="4"/>
              <w:left w:val="single" w:color="D0D0D0" w:sz="4"/>
              <w:bottom w:val="single" w:color="D0D0D0" w:sz="4"/>
              <w:right w:val="single" w:color="D0D0D0" w:sz="4"/>
            </w:tcBorders>
            <w:shd w:fill="EFEBF2" w:color="auto" w:val="clear"/>
            <w:tcMar>
              <w:top w:type="dxa" w:w="60"/>
              <w:left w:type="dxa" w:w="90"/>
              <w:bottom w:type="dxa" w:w="60"/>
              <w:right w:type="dxa" w:w="90"/>
            </w:tcMar>
          </w:tcPr>
          <w:p>
            <w:r>
              <w:rPr>
                <w:b/>
                <w:bCs/>
                <w:sz w:val="18"/>
                <w:szCs w:val="18"/>
              </w:rPr>
              <w:t xml:space="preserve">Below floor</w:t>
            </w:r>
          </w:p>
        </w:tc>
        <w:tc>
          <w:tcPr>
            <w:tcW w:type="dxa" w:w="1350"/>
            <w:tcBorders>
              <w:top w:val="single" w:color="D0D0D0" w:sz="4"/>
              <w:left w:val="single" w:color="D0D0D0" w:sz="4"/>
              <w:bottom w:val="single" w:color="D0D0D0" w:sz="4"/>
              <w:right w:val="single" w:color="D0D0D0" w:sz="4"/>
            </w:tcBorders>
            <w:shd w:fill="EFEBF2" w:color="auto" w:val="clear"/>
            <w:tcMar>
              <w:top w:type="dxa" w:w="60"/>
              <w:left w:type="dxa" w:w="90"/>
              <w:bottom w:type="dxa" w:w="60"/>
              <w:right w:type="dxa" w:w="90"/>
            </w:tcMar>
          </w:tcPr>
          <w:p>
            <w:r>
              <w:rPr>
                <w:sz w:val="18"/>
                <w:szCs w:val="18"/>
              </w:rPr>
              <w:t xml:space="preserve">Confidence gate</w:t>
            </w:r>
          </w:p>
        </w:tc>
        <w:tc>
          <w:tcPr>
            <w:tcW w:type="dxa" w:w="3260"/>
            <w:tcBorders>
              <w:top w:val="single" w:color="D0D0D0" w:sz="4"/>
              <w:left w:val="single" w:color="D0D0D0" w:sz="4"/>
              <w:bottom w:val="single" w:color="D0D0D0" w:sz="4"/>
              <w:right w:val="single" w:color="D0D0D0" w:sz="4"/>
            </w:tcBorders>
            <w:shd w:fill="EFEBF2" w:color="auto" w:val="clear"/>
            <w:tcMar>
              <w:top w:type="dxa" w:w="60"/>
              <w:left w:type="dxa" w:w="90"/>
              <w:bottom w:type="dxa" w:w="60"/>
              <w:right w:type="dxa" w:w="90"/>
            </w:tcMar>
          </w:tcPr>
          <w:p>
            <w:r>
              <w:rPr>
                <w:sz w:val="18"/>
                <w:szCs w:val="18"/>
              </w:rPr>
              <w:t xml:space="preserve">Folded, but mean pLDDT &lt; 50 — geometry not trustworthy</w:t>
            </w:r>
          </w:p>
        </w:tc>
        <w:tc>
          <w:tcPr>
            <w:tcW w:type="dxa" w:w="2650"/>
            <w:tcBorders>
              <w:top w:val="single" w:color="D0D0D0" w:sz="4"/>
              <w:left w:val="single" w:color="D0D0D0" w:sz="4"/>
              <w:bottom w:val="single" w:color="D0D0D0" w:sz="4"/>
              <w:right w:val="single" w:color="D0D0D0" w:sz="4"/>
            </w:tcBorders>
            <w:shd w:fill="EFEBF2" w:color="auto" w:val="clear"/>
            <w:tcMar>
              <w:top w:type="dxa" w:w="60"/>
              <w:left w:type="dxa" w:w="90"/>
              <w:bottom w:type="dxa" w:w="60"/>
              <w:right w:type="dxa" w:w="90"/>
            </w:tcMar>
          </w:tcPr>
          <w:p>
            <w:r>
              <w:rPr>
                <w:sz w:val="18"/>
                <w:szCs w:val="18"/>
              </w:rPr>
              <w:t xml:space="preserve">CXCR5 (47.63). Pre-registered floor, not tuned after the fact.</w:t>
            </w:r>
          </w:p>
        </w:tc>
      </w:tr>
      <w:tr>
        <w:tc>
          <w:tcPr>
            <w:tcW w:type="dxa" w:w="1500"/>
            <w:tcBorders>
              <w:top w:val="single" w:color="D0D0D0" w:sz="4"/>
              <w:left w:val="single" w:color="D0D0D0" w:sz="4"/>
              <w:bottom w:val="single" w:color="D0D0D0" w:sz="4"/>
              <w:right w:val="single" w:color="D0D0D0" w:sz="4"/>
            </w:tcBorders>
            <w:shd w:fill="E9F1F2" w:color="auto" w:val="clear"/>
            <w:tcMar>
              <w:top w:type="dxa" w:w="60"/>
              <w:left w:type="dxa" w:w="90"/>
              <w:bottom w:type="dxa" w:w="60"/>
              <w:right w:type="dxa" w:w="90"/>
            </w:tcMar>
          </w:tcPr>
          <w:p>
            <w:r>
              <w:rPr>
                <w:b/>
                <w:bCs/>
                <w:sz w:val="18"/>
                <w:szCs w:val="18"/>
              </w:rPr>
              <w:t xml:space="preserve">Held out</w:t>
            </w:r>
          </w:p>
        </w:tc>
        <w:tc>
          <w:tcPr>
            <w:tcW w:type="dxa" w:w="1350"/>
            <w:tcBorders>
              <w:top w:val="single" w:color="D0D0D0" w:sz="4"/>
              <w:left w:val="single" w:color="D0D0D0" w:sz="4"/>
              <w:bottom w:val="single" w:color="D0D0D0" w:sz="4"/>
              <w:right w:val="single" w:color="D0D0D0" w:sz="4"/>
            </w:tcBorders>
            <w:shd w:fill="E9F1F2" w:color="auto" w:val="clear"/>
            <w:tcMar>
              <w:top w:type="dxa" w:w="60"/>
              <w:left w:type="dxa" w:w="90"/>
              <w:bottom w:type="dxa" w:w="60"/>
              <w:right w:type="dxa" w:w="90"/>
            </w:tcMar>
          </w:tcPr>
          <w:p>
            <w:r>
              <w:rPr>
                <w:sz w:val="18"/>
                <w:szCs w:val="18"/>
              </w:rPr>
              <w:t xml:space="preserve">Comparability firewall</w:t>
            </w:r>
          </w:p>
        </w:tc>
        <w:tc>
          <w:tcPr>
            <w:tcW w:type="dxa" w:w="3260"/>
            <w:tcBorders>
              <w:top w:val="single" w:color="D0D0D0" w:sz="4"/>
              <w:left w:val="single" w:color="D0D0D0" w:sz="4"/>
              <w:bottom w:val="single" w:color="D0D0D0" w:sz="4"/>
              <w:right w:val="single" w:color="D0D0D0" w:sz="4"/>
            </w:tcBorders>
            <w:shd w:fill="E9F1F2" w:color="auto" w:val="clear"/>
            <w:tcMar>
              <w:top w:type="dxa" w:w="60"/>
              <w:left w:type="dxa" w:w="90"/>
              <w:bottom w:type="dxa" w:w="60"/>
              <w:right w:type="dxa" w:w="90"/>
            </w:tcMar>
          </w:tcPr>
          <w:p>
            <w:r>
              <w:rPr>
                <w:sz w:val="18"/>
                <w:szCs w:val="18"/>
              </w:rPr>
              <w:t xml:space="preserve">Folded &amp; trustworthy, but whole-method — feature 4 not comparable</w:t>
            </w:r>
          </w:p>
        </w:tc>
        <w:tc>
          <w:tcPr>
            <w:tcW w:type="dxa" w:w="2650"/>
            <w:tcBorders>
              <w:top w:val="single" w:color="D0D0D0" w:sz="4"/>
              <w:left w:val="single" w:color="D0D0D0" w:sz="4"/>
              <w:bottom w:val="single" w:color="D0D0D0" w:sz="4"/>
              <w:right w:val="single" w:color="D0D0D0" w:sz="4"/>
            </w:tcBorders>
            <w:shd w:fill="E9F1F2" w:color="auto" w:val="clear"/>
            <w:tcMar>
              <w:top w:type="dxa" w:w="60"/>
              <w:left w:type="dxa" w:w="90"/>
              <w:bottom w:type="dxa" w:w="60"/>
              <w:right w:type="dxa" w:w="90"/>
            </w:tcMar>
          </w:tcPr>
          <w:p>
            <w:r>
              <w:rPr>
                <w:sz w:val="18"/>
                <w:szCs w:val="18"/>
              </w:rPr>
              <w:t xml:space="preserve">MSLN. Protects the comparison; reachable with its reason.</w:t>
            </w:r>
          </w:p>
        </w:tc>
      </w:tr>
      <w:tr>
        <w:tc>
          <w:tcPr>
            <w:tcW w:type="dxa" w:w="1500"/>
            <w:tcBorders>
              <w:top w:val="single" w:color="D0D0D0" w:sz="4"/>
              <w:left w:val="single" w:color="D0D0D0" w:sz="4"/>
              <w:bottom w:val="single" w:color="D0D0D0" w:sz="4"/>
              <w:right w:val="single" w:color="D0D0D0" w:sz="4"/>
            </w:tcBorders>
            <w:shd w:fill="EAF2EC" w:color="auto" w:val="clear"/>
            <w:tcMar>
              <w:top w:type="dxa" w:w="60"/>
              <w:left w:type="dxa" w:w="90"/>
              <w:bottom w:type="dxa" w:w="60"/>
              <w:right w:type="dxa" w:w="90"/>
            </w:tcMar>
          </w:tcPr>
          <w:p>
            <w:r>
              <w:rPr>
                <w:b/>
                <w:bCs/>
                <w:sz w:val="18"/>
                <w:szCs w:val="18"/>
              </w:rPr>
              <w:t xml:space="preserve">LOO</w:t>
            </w:r>
          </w:p>
        </w:tc>
        <w:tc>
          <w:tcPr>
            <w:tcW w:type="dxa" w:w="1350"/>
            <w:tcBorders>
              <w:top w:val="single" w:color="D0D0D0" w:sz="4"/>
              <w:left w:val="single" w:color="D0D0D0" w:sz="4"/>
              <w:bottom w:val="single" w:color="D0D0D0" w:sz="4"/>
              <w:right w:val="single" w:color="D0D0D0" w:sz="4"/>
            </w:tcBorders>
            <w:shd w:fill="EAF2EC" w:color="auto" w:val="clear"/>
            <w:tcMar>
              <w:top w:type="dxa" w:w="60"/>
              <w:left w:type="dxa" w:w="90"/>
              <w:bottom w:type="dxa" w:w="60"/>
              <w:right w:type="dxa" w:w="90"/>
            </w:tcMar>
          </w:tcPr>
          <w:p>
            <w:r>
              <w:rPr>
                <w:sz w:val="18"/>
                <w:szCs w:val="18"/>
              </w:rPr>
              <w:t xml:space="preserve">Scoring design</w:t>
            </w:r>
          </w:p>
        </w:tc>
        <w:tc>
          <w:tcPr>
            <w:tcW w:type="dxa" w:w="3260"/>
            <w:tcBorders>
              <w:top w:val="single" w:color="D0D0D0" w:sz="4"/>
              <w:left w:val="single" w:color="D0D0D0" w:sz="4"/>
              <w:bottom w:val="single" w:color="D0D0D0" w:sz="4"/>
              <w:right w:val="single" w:color="D0D0D0" w:sz="4"/>
            </w:tcBorders>
            <w:shd w:fill="EAF2EC" w:color="auto" w:val="clear"/>
            <w:tcMar>
              <w:top w:type="dxa" w:w="60"/>
              <w:left w:type="dxa" w:w="90"/>
              <w:bottom w:type="dxa" w:w="60"/>
              <w:right w:type="dxa" w:w="90"/>
            </w:tcMar>
          </w:tcPr>
          <w:p>
            <w:r>
              <w:rPr>
                <w:sz w:val="18"/>
                <w:szCs w:val="18"/>
              </w:rPr>
              <w:t xml:space="preserve">Each of the 12 scored on the other 11 — never sees itself</w:t>
            </w:r>
          </w:p>
        </w:tc>
        <w:tc>
          <w:tcPr>
            <w:tcW w:type="dxa" w:w="2650"/>
            <w:tcBorders>
              <w:top w:val="single" w:color="D0D0D0" w:sz="4"/>
              <w:left w:val="single" w:color="D0D0D0" w:sz="4"/>
              <w:bottom w:val="single" w:color="D0D0D0" w:sz="4"/>
              <w:right w:val="single" w:color="D0D0D0" w:sz="4"/>
            </w:tcBorders>
            <w:shd w:fill="EAF2EC" w:color="auto" w:val="clear"/>
            <w:tcMar>
              <w:top w:type="dxa" w:w="60"/>
              <w:left w:type="dxa" w:w="90"/>
              <w:bottom w:type="dxa" w:w="60"/>
              <w:right w:type="dxa" w:w="90"/>
            </w:tcMar>
          </w:tcPr>
          <w:p>
            <w:r>
              <w:rPr>
                <w:sz w:val="18"/>
                <w:szCs w:val="18"/>
              </w:rPr>
              <w:t xml:space="preserve">All positives. Makes the estimate out-of-sample; biases toward null.</w:t>
            </w:r>
          </w:p>
        </w:tc>
      </w:tr>
    </w:tbl>
    <w:p>
      <w:pPr>
        <w:spacing w:after="120"/>
      </w:pPr>
    </w:p>
    <w:p>
      <w:pPr>
        <w:pStyle w:val="Heading1"/>
        <w:spacing w:after="140" w:before="320"/>
      </w:pPr>
      <w:r>
        <w:rPr>
          <w:b/>
          <w:bCs/>
          <w:color w:val="1F4E5B"/>
          <w:sz w:val="30"/>
          <w:szCs w:val="30"/>
        </w:rPr>
        <w:t xml:space="preserve">The one line to hold</w:t>
      </w:r>
    </w:p>
    <w:p>
      <w:pPr>
        <w:spacing w:after="130" w:line="276"/>
      </w:pPr>
      <w:r>
        <w:rPr>
          <w:b/>
          <w:bCs/>
          <w:sz w:val="22"/>
          <w:szCs w:val="22"/>
        </w:rPr>
        <w:t xml:space="preserve">Nothing leaves the scoring set silently. </w:t>
      </w:r>
      <w:r>
        <w:rPr>
          <w:sz w:val="22"/>
          <w:szCs w:val="22"/>
        </w:rPr>
        <w:t xml:space="preserve">Each of the four exits is a named, inspectable reason with its own rule, each is reachable in the interface, and the whole partition is asserted to sum to 82 by a test. The fit set of 12 is small — that is the binding constraint on the result, stated plainly (F-004) — but it is small for reasons a reader can walk through one at a time, not because 70 targets were quietly dropped to make a number look better.</w:t>
      </w:r>
    </w:p>
    <w:p>
      <w:pPr>
        <w:pBdr>
          <w:top w:val="single" w:color="D0D0D0" w:sz="4"/>
        </w:pBdr>
        <w:spacing w:before="280"/>
      </w:pPr>
      <w:r>
        <w:rPr>
          <w:i/>
          <w:iCs/>
          <w:color w:val="5A5A5A"/>
          <w:sz w:val="18"/>
          <w:szCs w:val="18"/>
        </w:rPr>
        <w:t xml:space="preserve">Grounded in the D-024 partition ruling (ranked / held_out / excluded, states sum to 82), D-021 (held-out = boundary-method incomparability), D-041 §5 (pLDDT floor 50), and F-004 (the fit set of 12 and its caveats). Every count here derives from the manifest / /api/ranking, not from recall.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82 Targets Become a Fit Set</dc:title>
  <dc:creator>PharmFoldMDK</dc:creator>
  <cp:lastModifiedBy>Un-named</cp:lastModifiedBy>
  <cp:revision>1</cp:revision>
  <dcterms:created xsi:type="dcterms:W3CDTF">2026-08-01T16:04:22.397Z</dcterms:created>
  <dcterms:modified xsi:type="dcterms:W3CDTF">2026-08-01T16:04:22.397Z</dcterms:modified>
</cp:coreProperties>
</file>

<file path=docProps/custom.xml><?xml version="1.0" encoding="utf-8"?>
<Properties xmlns="http://schemas.openxmlformats.org/officeDocument/2006/custom-properties" xmlns:vt="http://schemas.openxmlformats.org/officeDocument/2006/docPropsVTypes"/>
</file>