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B"/>
          <w:sz w:val="34"/>
          <w:szCs w:val="34"/>
        </w:rPr>
        <w:t xml:space="preserve">PharmFoldMDK — Literature Review &amp; Novelty Assessment</w:t>
      </w:r>
    </w:p>
    <w:p>
      <w:pPr>
        <w:spacing w:after="30"/>
      </w:pPr>
      <w:r>
        <w:rPr>
          <w:i/>
          <w:iCs/>
          <w:color w:val="5A5A5A"/>
          <w:sz w:val="22"/>
          <w:szCs w:val="22"/>
        </w:rPr>
        <w:t xml:space="preserve">Structure-derived feature ranking of ADC target antigens: where it sits in the 2024–2026 literature</w:t>
      </w:r>
    </w:p>
    <w:p>
      <w:pPr>
        <w:pBdr>
          <w:bottom w:val="single" w:color="1F4E5B" w:sz="6"/>
        </w:pBdr>
        <w:spacing w:after="200"/>
      </w:pPr>
      <w:r>
        <w:rPr>
          <w:color w:val="5A5A5A"/>
          <w:sz w:val="19"/>
          <w:szCs w:val="19"/>
        </w:rPr>
        <w:t xml:space="preserve">Prepared for Prof. F. Razzak · M.S. Machine Learning · Retrieval date 2026-07-31 · 7 papers</w:t>
      </w:r>
    </w:p>
    <w:p>
      <w:pPr>
        <w:pStyle w:val="Heading1"/>
        <w:spacing w:after="140" w:before="320"/>
      </w:pPr>
      <w:r>
        <w:rPr>
          <w:b/>
          <w:bCs/>
          <w:color w:val="1F4E5B"/>
          <w:sz w:val="30"/>
          <w:szCs w:val="30"/>
        </w:rPr>
        <w:t xml:space="preserve">The novelty claim, in one sentence</w:t>
      </w:r>
    </w:p>
    <w:p>
      <w:pPr>
        <w:spacing w:after="130" w:line="276"/>
        <w:jc w:val="left"/>
      </w:pPr>
      <w:r>
        <w:rPr>
          <w:b/>
          <w:bCs/>
          <w:sz w:val="24"/>
          <w:szCs w:val="24"/>
        </w:rPr>
        <w:t xml:space="preserve">No published method uses single-sequence predicted structure of a target antigen’s extracellular domain to compute target-level ADC-suitability features and reorder an expression-based target ranking.</w:t>
      </w:r>
    </w:p>
    <w:p>
      <w:pPr>
        <w:spacing w:after="130" w:line="276"/>
        <w:jc w:val="left"/>
      </w:pPr>
      <w:r>
        <w:rPr>
          <w:sz w:val="22"/>
          <w:szCs w:val="22"/>
        </w:rPr>
        <w:t xml:space="preserve">The literature splits cleanly into two camps that never meet on this question. The </w:t>
      </w:r>
      <w:r>
        <w:rPr>
          <w:b/>
          <w:bCs/>
          <w:sz w:val="22"/>
          <w:szCs w:val="22"/>
        </w:rPr>
        <w:t xml:space="preserve">target-prioritisation</w:t>
      </w:r>
      <w:r>
        <w:rPr>
          <w:sz w:val="22"/>
          <w:szCs w:val="22"/>
        </w:rPr>
        <w:t xml:space="preserve"> camp (Kathad, ImmunoTar, ADC Target Vault) ranks targets on </w:t>
      </w:r>
      <w:r>
        <w:rPr>
          <w:i/>
          <w:iCs/>
          <w:sz w:val="22"/>
          <w:szCs w:val="22"/>
        </w:rPr>
        <w:t xml:space="preserve">expression and omics</w:t>
      </w:r>
      <w:r>
        <w:rPr>
          <w:sz w:val="22"/>
          <w:szCs w:val="22"/>
        </w:rPr>
        <w:t xml:space="preserve"> and folds nothing. The </w:t>
      </w:r>
      <w:r>
        <w:rPr>
          <w:b/>
          <w:bCs/>
          <w:sz w:val="22"/>
          <w:szCs w:val="22"/>
        </w:rPr>
        <w:t xml:space="preserve">structure</w:t>
      </w:r>
      <w:r>
        <w:rPr>
          <w:sz w:val="22"/>
          <w:szCs w:val="22"/>
        </w:rPr>
        <w:t xml:space="preserve"> camp (ESMFold2, Site4Drug, SEPPA/SITA, ADCNet) uses predicted structure for </w:t>
      </w:r>
      <w:r>
        <w:rPr>
          <w:i/>
          <w:iCs/>
          <w:sz w:val="22"/>
          <w:szCs w:val="22"/>
        </w:rPr>
        <w:t xml:space="preserve">binder design or epitope selection</w:t>
      </w:r>
      <w:r>
        <w:rPr>
          <w:sz w:val="22"/>
          <w:szCs w:val="22"/>
        </w:rPr>
        <w:t xml:space="preserve"> — acting on one already-chosen target, not ranking across many. This project occupies the intersection the two camps leave empty: structure as the ranking signal.</w:t>
      </w:r>
    </w:p>
    <w:p>
      <w:pPr>
        <w:pStyle w:val="Heading2"/>
        <w:spacing w:after="100" w:before="220"/>
      </w:pPr>
      <w:r>
        <w:rPr>
          <w:b/>
          <w:bCs/>
          <w:color w:val="1F4E5B"/>
          <w:sz w:val="25"/>
          <w:szCs w:val="25"/>
        </w:rPr>
        <w:t xml:space="preserve">How this set was assembled (and its honesty boundary)</w:t>
      </w:r>
    </w:p>
    <w:p>
      <w:pPr>
        <w:spacing w:after="130" w:line="276"/>
        <w:jc w:val="left"/>
      </w:pPr>
      <w:r>
        <w:rPr>
          <w:sz w:val="22"/>
          <w:szCs w:val="22"/>
        </w:rPr>
        <w:t xml:space="preserve">Seven papers selected as </w:t>
      </w:r>
      <w:r>
        <w:rPr>
          <w:i/>
          <w:iCs/>
          <w:sz w:val="22"/>
          <w:szCs w:val="22"/>
        </w:rPr>
        <w:t xml:space="preserve">nearest neighbours</w:t>
      </w:r>
      <w:r>
        <w:rPr>
          <w:sz w:val="22"/>
          <w:szCs w:val="22"/>
        </w:rPr>
        <w:t xml:space="preserve"> — the works closest to the method or the task — because novelty is defined by the gap to what is closest, not by distance from unrelated work. Sources retrieved 2026-07-31 via primary venues (PLOS, Bioarxiv, Nature/npj, arXiv, Oxford Bioinformatics). </w:t>
      </w:r>
      <w:r>
        <w:rPr>
          <w:b/>
          <w:bCs/>
          <w:sz w:val="22"/>
          <w:szCs w:val="22"/>
        </w:rPr>
        <w:t xml:space="preserve">Two caveats travel with this review, in the project’s own discipline: </w:t>
      </w:r>
      <w:r>
        <w:rPr>
          <w:sz w:val="22"/>
          <w:szCs w:val="22"/>
        </w:rPr>
        <w:t xml:space="preserve">(a) this is a targeted nearest-neighbour search, not a systematic PRISMA review — absence of a closer paper here is ‘not found in a focused pass’, not ‘proven not to exist’; (b) the field moves monthly (ESMFold2 released mid-2026), so this snapshot has a date on it for a reason.</w:t>
      </w:r>
    </w:p>
    <w:p>
      <w:pPr>
        <w:pStyle w:val="Heading1"/>
        <w:spacing w:after="140" w:before="320"/>
      </w:pPr>
      <w:r>
        <w:rPr>
          <w:b/>
          <w:bCs/>
          <w:color w:val="1F4E5B"/>
          <w:sz w:val="30"/>
          <w:szCs w:val="30"/>
        </w:rPr>
        <w:t xml:space="preserve">The gap, as a matrix</w:t>
      </w:r>
    </w:p>
    <w:p>
      <w:pPr>
        <w:spacing w:after="130" w:line="276"/>
        <w:jc w:val="left"/>
      </w:pPr>
      <w:r>
        <w:rPr>
          <w:sz w:val="22"/>
          <w:szCs w:val="22"/>
        </w:rPr>
        <w:t xml:space="preserve">Each row is a nearest neighbour and the specific gap between it and this project. The gaps do not overlap — that is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500"/>
        <w:gridCol w:w="2660"/>
      </w:tblGrid>
      <w:tr>
        <w:trPr>
          <w:tblHeader/>
        </w:trPr>
        <w:tc>
          <w:tcPr>
            <w:tcW w:type="dxa" w:w="2100"/>
            <w:tcBorders>
              <w:top w:val="single" w:color="D0D0D0" w:sz="4"/>
              <w:left w:val="single" w:color="D0D0D0" w:sz="4"/>
              <w:bottom w:val="single" w:color="D0D0D0" w:sz="4"/>
              <w:right w:val="single" w:color="D0D0D0" w:sz="4"/>
            </w:tcBorders>
            <w:shd w:fill="1F4E5B" w:color="auto" w:val="clear"/>
            <w:tcMar>
              <w:top w:type="dxa" w:w="70"/>
              <w:left w:type="dxa" w:w="90"/>
              <w:bottom w:type="dxa" w:w="70"/>
              <w:right w:type="dxa" w:w="90"/>
            </w:tcMar>
          </w:tcPr>
          <w:p>
            <w:r>
              <w:rPr>
                <w:b/>
                <w:bCs/>
                <w:color w:val="FFFFFF"/>
                <w:sz w:val="18"/>
                <w:szCs w:val="18"/>
              </w:rPr>
              <w:t xml:space="preserve">Nearest neighbour</w:t>
            </w:r>
          </w:p>
        </w:tc>
        <w:tc>
          <w:tcPr>
            <w:tcW w:type="dxa" w:w="2100"/>
            <w:tcBorders>
              <w:top w:val="single" w:color="D0D0D0" w:sz="4"/>
              <w:left w:val="single" w:color="D0D0D0" w:sz="4"/>
              <w:bottom w:val="single" w:color="D0D0D0" w:sz="4"/>
              <w:right w:val="single" w:color="D0D0D0" w:sz="4"/>
            </w:tcBorders>
            <w:shd w:fill="1F4E5B" w:color="auto" w:val="clear"/>
            <w:tcMar>
              <w:top w:type="dxa" w:w="70"/>
              <w:left w:type="dxa" w:w="90"/>
              <w:bottom w:type="dxa" w:w="70"/>
              <w:right w:type="dxa" w:w="90"/>
            </w:tcMar>
          </w:tcPr>
          <w:p>
            <w:r>
              <w:rPr>
                <w:b/>
                <w:bCs/>
                <w:color w:val="FFFFFF"/>
                <w:sz w:val="18"/>
                <w:szCs w:val="18"/>
              </w:rPr>
              <w:t xml:space="preserve">What it does</w:t>
            </w:r>
          </w:p>
        </w:tc>
        <w:tc>
          <w:tcPr>
            <w:tcW w:type="dxa" w:w="2500"/>
            <w:tcBorders>
              <w:top w:val="single" w:color="D0D0D0" w:sz="4"/>
              <w:left w:val="single" w:color="D0D0D0" w:sz="4"/>
              <w:bottom w:val="single" w:color="D0D0D0" w:sz="4"/>
              <w:right w:val="single" w:color="D0D0D0" w:sz="4"/>
            </w:tcBorders>
            <w:shd w:fill="1F4E5B" w:color="auto" w:val="clear"/>
            <w:tcMar>
              <w:top w:type="dxa" w:w="70"/>
              <w:left w:type="dxa" w:w="90"/>
              <w:bottom w:type="dxa" w:w="70"/>
              <w:right w:type="dxa" w:w="90"/>
            </w:tcMar>
          </w:tcPr>
          <w:p>
            <w:r>
              <w:rPr>
                <w:b/>
                <w:bCs/>
                <w:color w:val="FFFFFF"/>
                <w:sz w:val="18"/>
                <w:szCs w:val="18"/>
              </w:rPr>
              <w:t xml:space="preserve">Signal it ranks / acts on</w:t>
            </w:r>
          </w:p>
        </w:tc>
        <w:tc>
          <w:tcPr>
            <w:tcW w:type="dxa" w:w="2660"/>
            <w:tcBorders>
              <w:top w:val="single" w:color="D0D0D0" w:sz="4"/>
              <w:left w:val="single" w:color="D0D0D0" w:sz="4"/>
              <w:bottom w:val="single" w:color="D0D0D0" w:sz="4"/>
              <w:right w:val="single" w:color="D0D0D0" w:sz="4"/>
            </w:tcBorders>
            <w:shd w:fill="1F4E5B" w:color="auto" w:val="clear"/>
            <w:tcMar>
              <w:top w:type="dxa" w:w="70"/>
              <w:left w:type="dxa" w:w="90"/>
              <w:bottom w:type="dxa" w:w="70"/>
              <w:right w:type="dxa" w:w="90"/>
            </w:tcMar>
          </w:tcPr>
          <w:p>
            <w:r>
              <w:rPr>
                <w:b/>
                <w:bCs/>
                <w:color w:val="FFFFFF"/>
                <w:sz w:val="18"/>
                <w:szCs w:val="18"/>
              </w:rPr>
              <w:t xml:space="preserve">The gap to PharmFoldMDK</w:t>
            </w:r>
          </w:p>
        </w:tc>
      </w:tr>
      <w:tr>
        <w:tc>
          <w:tcPr>
            <w:tcW w:type="dxa" w:w="2100"/>
            <w:tcBorders>
              <w:top w:val="single" w:color="D0D0D0" w:sz="4"/>
              <w:left w:val="single" w:color="D0D0D0" w:sz="4"/>
              <w:bottom w:val="single" w:color="D0D0D0" w:sz="4"/>
              <w:right w:val="single" w:color="D0D0D0" w:sz="4"/>
            </w:tcBorders>
            <w:shd w:fill="FFFFFF" w:color="auto" w:val="clear"/>
            <w:tcMar>
              <w:top w:type="dxa" w:w="60"/>
              <w:left w:type="dxa" w:w="90"/>
              <w:bottom w:type="dxa" w:w="60"/>
              <w:right w:type="dxa" w:w="90"/>
            </w:tcMar>
          </w:tcPr>
          <w:p>
            <w:r>
              <w:rPr>
                <w:b/>
                <w:bCs/>
                <w:sz w:val="18"/>
                <w:szCs w:val="18"/>
              </w:rPr>
              <w:t xml:space="preserve">Kathad et al. 2024 (comparator)</w:t>
            </w:r>
          </w:p>
        </w:tc>
        <w:tc>
          <w:tcPr>
            <w:tcW w:type="dxa" w:w="2100"/>
            <w:tcBorders>
              <w:top w:val="single" w:color="D0D0D0" w:sz="4"/>
              <w:left w:val="single" w:color="D0D0D0" w:sz="4"/>
              <w:bottom w:val="single" w:color="D0D0D0" w:sz="4"/>
              <w:right w:val="single" w:color="D0D0D0" w:sz="4"/>
            </w:tcBorders>
            <w:shd w:fill="FFFFFF" w:color="auto" w:val="clear"/>
            <w:tcMar>
              <w:top w:type="dxa" w:w="60"/>
              <w:left w:type="dxa" w:w="90"/>
              <w:bottom w:type="dxa" w:w="60"/>
              <w:right w:type="dxa" w:w="90"/>
            </w:tcMar>
          </w:tcPr>
          <w:p>
            <w:r>
              <w:rPr>
                <w:sz w:val="18"/>
                <w:szCs w:val="18"/>
              </w:rPr>
              <w:t xml:space="preserve">Rank ADC targets in-silico</w:t>
            </w:r>
          </w:p>
        </w:tc>
        <w:tc>
          <w:tcPr>
            <w:tcW w:type="dxa" w:w="2500"/>
            <w:tcBorders>
              <w:top w:val="single" w:color="D0D0D0" w:sz="4"/>
              <w:left w:val="single" w:color="D0D0D0" w:sz="4"/>
              <w:bottom w:val="single" w:color="D0D0D0" w:sz="4"/>
              <w:right w:val="single" w:color="D0D0D0" w:sz="4"/>
            </w:tcBorders>
            <w:shd w:fill="FFFFFF" w:color="auto" w:val="clear"/>
            <w:tcMar>
              <w:top w:type="dxa" w:w="60"/>
              <w:left w:type="dxa" w:w="90"/>
              <w:bottom w:type="dxa" w:w="60"/>
              <w:right w:type="dxa" w:w="90"/>
            </w:tcMar>
          </w:tcPr>
          <w:p>
            <w:r>
              <w:rPr>
                <w:sz w:val="18"/>
                <w:szCs w:val="18"/>
              </w:rPr>
              <w:t xml:space="preserve">Expression / tumour-selectivity, omics</w:t>
            </w:r>
          </w:p>
        </w:tc>
        <w:tc>
          <w:tcPr>
            <w:tcW w:type="dxa" w:w="2660"/>
            <w:tcBorders>
              <w:top w:val="single" w:color="D0D0D0" w:sz="4"/>
              <w:left w:val="single" w:color="D0D0D0" w:sz="4"/>
              <w:bottom w:val="single" w:color="D0D0D0" w:sz="4"/>
              <w:right w:val="single" w:color="D0D0D0" w:sz="4"/>
            </w:tcBorders>
            <w:shd w:fill="FFFFFF" w:color="auto" w:val="clear"/>
            <w:tcMar>
              <w:top w:type="dxa" w:w="60"/>
              <w:left w:type="dxa" w:w="90"/>
              <w:bottom w:type="dxa" w:w="60"/>
              <w:right w:type="dxa" w:w="90"/>
            </w:tcMar>
          </w:tcPr>
          <w:p>
            <w:r>
              <w:rPr>
                <w:sz w:val="18"/>
                <w:szCs w:val="18"/>
              </w:rPr>
              <w:t xml:space="preserve">No predicted structure; ranks on expression. This project reorders that ranking with structure.</w:t>
            </w:r>
          </w:p>
        </w:tc>
      </w:tr>
      <w:tr>
        <w:tc>
          <w:tcPr>
            <w:tcW w:type="dxa" w:w="2100"/>
            <w:tcBorders>
              <w:top w:val="single" w:color="D0D0D0" w:sz="4"/>
              <w:left w:val="single" w:color="D0D0D0" w:sz="4"/>
              <w:bottom w:val="single" w:color="D0D0D0" w:sz="4"/>
              <w:right w:val="single" w:color="D0D0D0" w:sz="4"/>
            </w:tcBorders>
            <w:shd w:fill="F2F6F7" w:color="auto" w:val="clear"/>
            <w:tcMar>
              <w:top w:type="dxa" w:w="60"/>
              <w:left w:type="dxa" w:w="90"/>
              <w:bottom w:type="dxa" w:w="60"/>
              <w:right w:type="dxa" w:w="90"/>
            </w:tcMar>
          </w:tcPr>
          <w:p>
            <w:r>
              <w:rPr>
                <w:b/>
                <w:bCs/>
                <w:sz w:val="18"/>
                <w:szCs w:val="18"/>
              </w:rPr>
              <w:t xml:space="preserve">ImmunoTar 2025 (Bioinformatics)</w:t>
            </w:r>
          </w:p>
        </w:tc>
        <w:tc>
          <w:tcPr>
            <w:tcW w:type="dxa" w:w="2100"/>
            <w:tcBorders>
              <w:top w:val="single" w:color="D0D0D0" w:sz="4"/>
              <w:left w:val="single" w:color="D0D0D0" w:sz="4"/>
              <w:bottom w:val="single" w:color="D0D0D0" w:sz="4"/>
              <w:right w:val="single" w:color="D0D0D0" w:sz="4"/>
            </w:tcBorders>
            <w:shd w:fill="F2F6F7" w:color="auto" w:val="clear"/>
            <w:tcMar>
              <w:top w:type="dxa" w:w="60"/>
              <w:left w:type="dxa" w:w="90"/>
              <w:bottom w:type="dxa" w:w="60"/>
              <w:right w:type="dxa" w:w="90"/>
            </w:tcMar>
          </w:tcPr>
          <w:p>
            <w:r>
              <w:rPr>
                <w:sz w:val="18"/>
                <w:szCs w:val="18"/>
              </w:rPr>
              <w:t xml:space="preserve">Prioritise cell-surface immunotherapy targets</w:t>
            </w:r>
          </w:p>
        </w:tc>
        <w:tc>
          <w:tcPr>
            <w:tcW w:type="dxa" w:w="2500"/>
            <w:tcBorders>
              <w:top w:val="single" w:color="D0D0D0" w:sz="4"/>
              <w:left w:val="single" w:color="D0D0D0" w:sz="4"/>
              <w:bottom w:val="single" w:color="D0D0D0" w:sz="4"/>
              <w:right w:val="single" w:color="D0D0D0" w:sz="4"/>
            </w:tcBorders>
            <w:shd w:fill="F2F6F7" w:color="auto" w:val="clear"/>
            <w:tcMar>
              <w:top w:type="dxa" w:w="60"/>
              <w:left w:type="dxa" w:w="90"/>
              <w:bottom w:type="dxa" w:w="60"/>
              <w:right w:type="dxa" w:w="90"/>
            </w:tcMar>
          </w:tcPr>
          <w:p>
            <w:r>
              <w:rPr>
                <w:sz w:val="18"/>
                <w:szCs w:val="18"/>
              </w:rPr>
              <w:t xml:space="preserve">RNA-seq / proteomics + database features</w:t>
            </w:r>
          </w:p>
        </w:tc>
        <w:tc>
          <w:tcPr>
            <w:tcW w:type="dxa" w:w="2660"/>
            <w:tcBorders>
              <w:top w:val="single" w:color="D0D0D0" w:sz="4"/>
              <w:left w:val="single" w:color="D0D0D0" w:sz="4"/>
              <w:bottom w:val="single" w:color="D0D0D0" w:sz="4"/>
              <w:right w:val="single" w:color="D0D0D0" w:sz="4"/>
            </w:tcBorders>
            <w:shd w:fill="F2F6F7" w:color="auto" w:val="clear"/>
            <w:tcMar>
              <w:top w:type="dxa" w:w="60"/>
              <w:left w:type="dxa" w:w="90"/>
              <w:bottom w:type="dxa" w:w="60"/>
              <w:right w:type="dxa" w:w="90"/>
            </w:tcMar>
          </w:tcPr>
          <w:p>
            <w:r>
              <w:rPr>
                <w:sz w:val="18"/>
                <w:szCs w:val="18"/>
              </w:rPr>
              <w:t xml:space="preserve">Omics-driven, zero structural features. Same task, disjoint feature space.</w:t>
            </w:r>
          </w:p>
        </w:tc>
      </w:tr>
      <w:tr>
        <w:tc>
          <w:tcPr>
            <w:tcW w:type="dxa" w:w="2100"/>
            <w:tcBorders>
              <w:top w:val="single" w:color="D0D0D0" w:sz="4"/>
              <w:left w:val="single" w:color="D0D0D0" w:sz="4"/>
              <w:bottom w:val="single" w:color="D0D0D0" w:sz="4"/>
              <w:right w:val="single" w:color="D0D0D0" w:sz="4"/>
            </w:tcBorders>
            <w:shd w:fill="FFFFFF" w:color="auto" w:val="clear"/>
            <w:tcMar>
              <w:top w:type="dxa" w:w="60"/>
              <w:left w:type="dxa" w:w="90"/>
              <w:bottom w:type="dxa" w:w="60"/>
              <w:right w:type="dxa" w:w="90"/>
            </w:tcMar>
          </w:tcPr>
          <w:p>
            <w:r>
              <w:rPr>
                <w:b/>
                <w:bCs/>
                <w:sz w:val="18"/>
                <w:szCs w:val="18"/>
              </w:rPr>
              <w:t xml:space="preserve">ADC Target Vault 2023</w:t>
            </w:r>
          </w:p>
        </w:tc>
        <w:tc>
          <w:tcPr>
            <w:tcW w:type="dxa" w:w="2100"/>
            <w:tcBorders>
              <w:top w:val="single" w:color="D0D0D0" w:sz="4"/>
              <w:left w:val="single" w:color="D0D0D0" w:sz="4"/>
              <w:bottom w:val="single" w:color="D0D0D0" w:sz="4"/>
              <w:right w:val="single" w:color="D0D0D0" w:sz="4"/>
            </w:tcBorders>
            <w:shd w:fill="FFFFFF" w:color="auto" w:val="clear"/>
            <w:tcMar>
              <w:top w:type="dxa" w:w="60"/>
              <w:left w:type="dxa" w:w="90"/>
              <w:bottom w:type="dxa" w:w="60"/>
              <w:right w:type="dxa" w:w="90"/>
            </w:tcMar>
          </w:tcPr>
          <w:p>
            <w:r>
              <w:rPr>
                <w:sz w:val="18"/>
                <w:szCs w:val="18"/>
              </w:rPr>
              <w:t xml:space="preserve">Prioritise ADC targets, validate by internalisation</w:t>
            </w:r>
          </w:p>
        </w:tc>
        <w:tc>
          <w:tcPr>
            <w:tcW w:type="dxa" w:w="2500"/>
            <w:tcBorders>
              <w:top w:val="single" w:color="D0D0D0" w:sz="4"/>
              <w:left w:val="single" w:color="D0D0D0" w:sz="4"/>
              <w:bottom w:val="single" w:color="D0D0D0" w:sz="4"/>
              <w:right w:val="single" w:color="D0D0D0" w:sz="4"/>
            </w:tcBorders>
            <w:shd w:fill="FFFFFF" w:color="auto" w:val="clear"/>
            <w:tcMar>
              <w:top w:type="dxa" w:w="60"/>
              <w:left w:type="dxa" w:w="90"/>
              <w:bottom w:type="dxa" w:w="60"/>
              <w:right w:type="dxa" w:w="90"/>
            </w:tcMar>
          </w:tcPr>
          <w:p>
            <w:r>
              <w:rPr>
                <w:sz w:val="18"/>
                <w:szCs w:val="18"/>
              </w:rPr>
              <w:t xml:space="preserve">Curated database + SPR wet-lab</w:t>
            </w:r>
          </w:p>
        </w:tc>
        <w:tc>
          <w:tcPr>
            <w:tcW w:type="dxa" w:w="2660"/>
            <w:tcBorders>
              <w:top w:val="single" w:color="D0D0D0" w:sz="4"/>
              <w:left w:val="single" w:color="D0D0D0" w:sz="4"/>
              <w:bottom w:val="single" w:color="D0D0D0" w:sz="4"/>
              <w:right w:val="single" w:color="D0D0D0" w:sz="4"/>
            </w:tcBorders>
            <w:shd w:fill="FFFFFF" w:color="auto" w:val="clear"/>
            <w:tcMar>
              <w:top w:type="dxa" w:w="60"/>
              <w:left w:type="dxa" w:w="90"/>
              <w:bottom w:type="dxa" w:w="60"/>
              <w:right w:type="dxa" w:w="90"/>
            </w:tcMar>
          </w:tcPr>
          <w:p>
            <w:r>
              <w:rPr>
                <w:sz w:val="18"/>
                <w:szCs w:val="18"/>
              </w:rPr>
              <w:t xml:space="preserve">No folding; validation is experimental, not structure-derived.</w:t>
            </w:r>
          </w:p>
        </w:tc>
      </w:tr>
      <w:tr>
        <w:tc>
          <w:tcPr>
            <w:tcW w:type="dxa" w:w="2100"/>
            <w:tcBorders>
              <w:top w:val="single" w:color="D0D0D0" w:sz="4"/>
              <w:left w:val="single" w:color="D0D0D0" w:sz="4"/>
              <w:bottom w:val="single" w:color="D0D0D0" w:sz="4"/>
              <w:right w:val="single" w:color="D0D0D0" w:sz="4"/>
            </w:tcBorders>
            <w:shd w:fill="F2F6F7" w:color="auto" w:val="clear"/>
            <w:tcMar>
              <w:top w:type="dxa" w:w="60"/>
              <w:left w:type="dxa" w:w="90"/>
              <w:bottom w:type="dxa" w:w="60"/>
              <w:right w:type="dxa" w:w="90"/>
            </w:tcMar>
          </w:tcPr>
          <w:p>
            <w:r>
              <w:rPr>
                <w:b/>
                <w:bCs/>
                <w:sz w:val="18"/>
                <w:szCs w:val="18"/>
              </w:rPr>
              <w:t xml:space="preserve">ADCNet 2024</w:t>
            </w:r>
          </w:p>
        </w:tc>
        <w:tc>
          <w:tcPr>
            <w:tcW w:type="dxa" w:w="2100"/>
            <w:tcBorders>
              <w:top w:val="single" w:color="D0D0D0" w:sz="4"/>
              <w:left w:val="single" w:color="D0D0D0" w:sz="4"/>
              <w:bottom w:val="single" w:color="D0D0D0" w:sz="4"/>
              <w:right w:val="single" w:color="D0D0D0" w:sz="4"/>
            </w:tcBorders>
            <w:shd w:fill="F2F6F7" w:color="auto" w:val="clear"/>
            <w:tcMar>
              <w:top w:type="dxa" w:w="60"/>
              <w:left w:type="dxa" w:w="90"/>
              <w:bottom w:type="dxa" w:w="60"/>
              <w:right w:type="dxa" w:w="90"/>
            </w:tcMar>
          </w:tcPr>
          <w:p>
            <w:r>
              <w:rPr>
                <w:sz w:val="18"/>
                <w:szCs w:val="18"/>
              </w:rPr>
              <w:t xml:space="preserve">Predict ADC activity</w:t>
            </w:r>
          </w:p>
        </w:tc>
        <w:tc>
          <w:tcPr>
            <w:tcW w:type="dxa" w:w="2500"/>
            <w:tcBorders>
              <w:top w:val="single" w:color="D0D0D0" w:sz="4"/>
              <w:left w:val="single" w:color="D0D0D0" w:sz="4"/>
              <w:bottom w:val="single" w:color="D0D0D0" w:sz="4"/>
              <w:right w:val="single" w:color="D0D0D0" w:sz="4"/>
            </w:tcBorders>
            <w:shd w:fill="F2F6F7" w:color="auto" w:val="clear"/>
            <w:tcMar>
              <w:top w:type="dxa" w:w="60"/>
              <w:left w:type="dxa" w:w="90"/>
              <w:bottom w:type="dxa" w:w="60"/>
              <w:right w:type="dxa" w:w="90"/>
            </w:tcMar>
          </w:tcPr>
          <w:p>
            <w:r>
              <w:rPr>
                <w:sz w:val="18"/>
                <w:szCs w:val="18"/>
              </w:rPr>
              <w:t xml:space="preserve">ESM-2 sequence embeddings of Ab + antigen</w:t>
            </w:r>
          </w:p>
        </w:tc>
        <w:tc>
          <w:tcPr>
            <w:tcW w:type="dxa" w:w="2660"/>
            <w:tcBorders>
              <w:top w:val="single" w:color="D0D0D0" w:sz="4"/>
              <w:left w:val="single" w:color="D0D0D0" w:sz="4"/>
              <w:bottom w:val="single" w:color="D0D0D0" w:sz="4"/>
              <w:right w:val="single" w:color="D0D0D0" w:sz="4"/>
            </w:tcBorders>
            <w:shd w:fill="F2F6F7" w:color="auto" w:val="clear"/>
            <w:tcMar>
              <w:top w:type="dxa" w:w="60"/>
              <w:left w:type="dxa" w:w="90"/>
              <w:bottom w:type="dxa" w:w="60"/>
              <w:right w:type="dxa" w:w="90"/>
            </w:tcMar>
          </w:tcPr>
          <w:p>
            <w:r>
              <w:rPr>
                <w:sz w:val="18"/>
                <w:szCs w:val="18"/>
              </w:rPr>
              <w:t xml:space="preserve">Uses the language model, not folded 3D geometry; predicts activity, not target rank.</w:t>
            </w:r>
          </w:p>
        </w:tc>
      </w:tr>
      <w:tr>
        <w:tc>
          <w:tcPr>
            <w:tcW w:type="dxa" w:w="2100"/>
            <w:tcBorders>
              <w:top w:val="single" w:color="D0D0D0" w:sz="4"/>
              <w:left w:val="single" w:color="D0D0D0" w:sz="4"/>
              <w:bottom w:val="single" w:color="D0D0D0" w:sz="4"/>
              <w:right w:val="single" w:color="D0D0D0" w:sz="4"/>
            </w:tcBorders>
            <w:shd w:fill="FFFFFF" w:color="auto" w:val="clear"/>
            <w:tcMar>
              <w:top w:type="dxa" w:w="60"/>
              <w:left w:type="dxa" w:w="90"/>
              <w:bottom w:type="dxa" w:w="60"/>
              <w:right w:type="dxa" w:w="90"/>
            </w:tcMar>
          </w:tcPr>
          <w:p>
            <w:r>
              <w:rPr>
                <w:b/>
                <w:bCs/>
                <w:sz w:val="18"/>
                <w:szCs w:val="18"/>
              </w:rPr>
              <w:t xml:space="preserve">ESMFold2 / Biohub 2026</w:t>
            </w:r>
          </w:p>
        </w:tc>
        <w:tc>
          <w:tcPr>
            <w:tcW w:type="dxa" w:w="2100"/>
            <w:tcBorders>
              <w:top w:val="single" w:color="D0D0D0" w:sz="4"/>
              <w:left w:val="single" w:color="D0D0D0" w:sz="4"/>
              <w:bottom w:val="single" w:color="D0D0D0" w:sz="4"/>
              <w:right w:val="single" w:color="D0D0D0" w:sz="4"/>
            </w:tcBorders>
            <w:shd w:fill="FFFFFF" w:color="auto" w:val="clear"/>
            <w:tcMar>
              <w:top w:type="dxa" w:w="60"/>
              <w:left w:type="dxa" w:w="90"/>
              <w:bottom w:type="dxa" w:w="60"/>
              <w:right w:type="dxa" w:w="90"/>
            </w:tcMar>
          </w:tcPr>
          <w:p>
            <w:r>
              <w:rPr>
                <w:sz w:val="18"/>
                <w:szCs w:val="18"/>
              </w:rPr>
              <w:t xml:space="preserve">Design antibody binders to known targets</w:t>
            </w:r>
          </w:p>
        </w:tc>
        <w:tc>
          <w:tcPr>
            <w:tcW w:type="dxa" w:w="2500"/>
            <w:tcBorders>
              <w:top w:val="single" w:color="D0D0D0" w:sz="4"/>
              <w:left w:val="single" w:color="D0D0D0" w:sz="4"/>
              <w:bottom w:val="single" w:color="D0D0D0" w:sz="4"/>
              <w:right w:val="single" w:color="D0D0D0" w:sz="4"/>
            </w:tcBorders>
            <w:shd w:fill="FFFFFF" w:color="auto" w:val="clear"/>
            <w:tcMar>
              <w:top w:type="dxa" w:w="60"/>
              <w:left w:type="dxa" w:w="90"/>
              <w:bottom w:type="dxa" w:w="60"/>
              <w:right w:type="dxa" w:w="90"/>
            </w:tcMar>
          </w:tcPr>
          <w:p>
            <w:r>
              <w:rPr>
                <w:sz w:val="18"/>
                <w:szCs w:val="18"/>
              </w:rPr>
              <w:t xml:space="preserve">Folded Ab-antigen complex, binding pose</w:t>
            </w:r>
          </w:p>
        </w:tc>
        <w:tc>
          <w:tcPr>
            <w:tcW w:type="dxa" w:w="2660"/>
            <w:tcBorders>
              <w:top w:val="single" w:color="D0D0D0" w:sz="4"/>
              <w:left w:val="single" w:color="D0D0D0" w:sz="4"/>
              <w:bottom w:val="single" w:color="D0D0D0" w:sz="4"/>
              <w:right w:val="single" w:color="D0D0D0" w:sz="4"/>
            </w:tcBorders>
            <w:shd w:fill="FFFFFF" w:color="auto" w:val="clear"/>
            <w:tcMar>
              <w:top w:type="dxa" w:w="60"/>
              <w:left w:type="dxa" w:w="90"/>
              <w:bottom w:type="dxa" w:w="60"/>
              <w:right w:type="dxa" w:w="90"/>
            </w:tcMar>
          </w:tcPr>
          <w:p>
            <w:r>
              <w:rPr>
                <w:sz w:val="18"/>
                <w:szCs w:val="18"/>
              </w:rPr>
              <w:t xml:space="preserve">Folds the antibody against a fixed target; this project folds the target to rank targets.</w:t>
            </w:r>
          </w:p>
        </w:tc>
      </w:tr>
      <w:tr>
        <w:tc>
          <w:tcPr>
            <w:tcW w:type="dxa" w:w="2100"/>
            <w:tcBorders>
              <w:top w:val="single" w:color="D0D0D0" w:sz="4"/>
              <w:left w:val="single" w:color="D0D0D0" w:sz="4"/>
              <w:bottom w:val="single" w:color="D0D0D0" w:sz="4"/>
              <w:right w:val="single" w:color="D0D0D0" w:sz="4"/>
            </w:tcBorders>
            <w:shd w:fill="F2F6F7" w:color="auto" w:val="clear"/>
            <w:tcMar>
              <w:top w:type="dxa" w:w="60"/>
              <w:left w:type="dxa" w:w="90"/>
              <w:bottom w:type="dxa" w:w="60"/>
              <w:right w:type="dxa" w:w="90"/>
            </w:tcMar>
          </w:tcPr>
          <w:p>
            <w:r>
              <w:rPr>
                <w:b/>
                <w:bCs/>
                <w:sz w:val="18"/>
                <w:szCs w:val="18"/>
              </w:rPr>
              <w:t xml:space="preserve">Site4Drug 2026 / SEPPA-SITA</w:t>
            </w:r>
          </w:p>
        </w:tc>
        <w:tc>
          <w:tcPr>
            <w:tcW w:type="dxa" w:w="2100"/>
            <w:tcBorders>
              <w:top w:val="single" w:color="D0D0D0" w:sz="4"/>
              <w:left w:val="single" w:color="D0D0D0" w:sz="4"/>
              <w:bottom w:val="single" w:color="D0D0D0" w:sz="4"/>
              <w:right w:val="single" w:color="D0D0D0" w:sz="4"/>
            </w:tcBorders>
            <w:shd w:fill="F2F6F7" w:color="auto" w:val="clear"/>
            <w:tcMar>
              <w:top w:type="dxa" w:w="60"/>
              <w:left w:type="dxa" w:w="90"/>
              <w:bottom w:type="dxa" w:w="60"/>
              <w:right w:type="dxa" w:w="90"/>
            </w:tcMar>
          </w:tcPr>
          <w:p>
            <w:r>
              <w:rPr>
                <w:sz w:val="18"/>
                <w:szCs w:val="18"/>
              </w:rPr>
              <w:t xml:space="preserve">Select epitope / binding site on an antigen</w:t>
            </w:r>
          </w:p>
        </w:tc>
        <w:tc>
          <w:tcPr>
            <w:tcW w:type="dxa" w:w="2500"/>
            <w:tcBorders>
              <w:top w:val="single" w:color="D0D0D0" w:sz="4"/>
              <w:left w:val="single" w:color="D0D0D0" w:sz="4"/>
              <w:bottom w:val="single" w:color="D0D0D0" w:sz="4"/>
              <w:right w:val="single" w:color="D0D0D0" w:sz="4"/>
            </w:tcBorders>
            <w:shd w:fill="F2F6F7" w:color="auto" w:val="clear"/>
            <w:tcMar>
              <w:top w:type="dxa" w:w="60"/>
              <w:left w:type="dxa" w:w="90"/>
              <w:bottom w:type="dxa" w:w="60"/>
              <w:right w:type="dxa" w:w="90"/>
            </w:tcMar>
          </w:tcPr>
          <w:p>
            <w:r>
              <w:rPr>
                <w:sz w:val="18"/>
                <w:szCs w:val="18"/>
              </w:rPr>
              <w:t xml:space="preserve">3D surface accessibility of the antigen</w:t>
            </w:r>
          </w:p>
        </w:tc>
        <w:tc>
          <w:tcPr>
            <w:tcW w:type="dxa" w:w="2660"/>
            <w:tcBorders>
              <w:top w:val="single" w:color="D0D0D0" w:sz="4"/>
              <w:left w:val="single" w:color="D0D0D0" w:sz="4"/>
              <w:bottom w:val="single" w:color="D0D0D0" w:sz="4"/>
              <w:right w:val="single" w:color="D0D0D0" w:sz="4"/>
            </w:tcBorders>
            <w:shd w:fill="F2F6F7" w:color="auto" w:val="clear"/>
            <w:tcMar>
              <w:top w:type="dxa" w:w="60"/>
              <w:left w:type="dxa" w:w="90"/>
              <w:bottom w:type="dxa" w:w="60"/>
              <w:right w:type="dxa" w:w="90"/>
            </w:tcMar>
          </w:tcPr>
          <w:p>
            <w:r>
              <w:rPr>
                <w:sz w:val="18"/>
                <w:szCs w:val="18"/>
              </w:rPr>
              <w:t xml:space="preserve">Residue-level epitope choice, not target-level suitability ranking across a cohort.</w:t>
            </w:r>
          </w:p>
        </w:tc>
      </w:tr>
    </w:tbl>
    <w:p>
      <w:pPr>
        <w:spacing w:after="100"/>
      </w:pPr>
    </w:p>
    <w:p>
      <w:pPr>
        <w:pStyle w:val="Heading1"/>
        <w:spacing w:after="140" w:before="320"/>
      </w:pPr>
      <w:r>
        <w:rPr>
          <w:b/>
          <w:bCs/>
          <w:color w:val="1F4E5B"/>
          <w:sz w:val="30"/>
          <w:szCs w:val="30"/>
        </w:rPr>
        <w:t xml:space="preserve">The seven papers, annotated</w:t>
      </w:r>
    </w:p>
    <w:p>
      <w:pPr>
        <w:spacing w:after="40" w:before="200"/>
      </w:pPr>
      <w:r>
        <w:rPr>
          <w:b/>
          <w:bCs/>
          <w:color w:val="1F4E5B"/>
          <w:sz w:val="23"/>
          <w:szCs w:val="23"/>
        </w:rPr>
        <w:t xml:space="preserve">1. </w:t>
      </w:r>
      <w:r>
        <w:rPr>
          <w:b/>
          <w:bCs/>
          <w:sz w:val="23"/>
          <w:szCs w:val="23"/>
        </w:rPr>
        <w:t xml:space="preserve">Kathad U, et al. (2024). Expanding the repertoire of Antibody Drug Conjugate (ADC) targets… through in-silico analysis.</w:t>
      </w:r>
    </w:p>
    <w:p>
      <w:pPr>
        <w:spacing w:after="40"/>
      </w:pPr>
      <w:r>
        <w:rPr>
          <w:i/>
          <w:iCs/>
          <w:color w:val="5A5A5A"/>
          <w:sz w:val="20"/>
          <w:szCs w:val="20"/>
        </w:rPr>
        <w:t xml:space="preserve">PLOS ONE 19(8): e0308604.  </w:t>
      </w:r>
      <w:hyperlink w:history="1" r:id="rIdteo9ky2prp3m_85moakog">
        <w:r>
          <w:rPr>
            <w:rStyle w:val="Hyperlink"/>
            <w:sz w:val="20"/>
            <w:szCs w:val="20"/>
          </w:rPr>
          <w:t xml:space="preserve">[link]</w:t>
        </w:r>
      </w:hyperlink>
    </w:p>
    <w:p>
      <w:pPr>
        <w:spacing w:after="60"/>
      </w:pPr>
      <w:r>
        <w:rPr>
          <w:b/>
          <w:bCs/>
          <w:sz w:val="21"/>
          <w:szCs w:val="21"/>
        </w:rPr>
        <w:t xml:space="preserve">Role here: </w:t>
      </w:r>
      <w:r>
        <w:rPr>
          <w:i/>
          <w:iCs/>
          <w:sz w:val="21"/>
          <w:szCs w:val="21"/>
        </w:rPr>
        <w:t xml:space="preserve">The comparator, not the oracle.</w:t>
      </w:r>
    </w:p>
    <w:p>
      <w:pPr>
        <w:spacing w:after="130" w:line="276"/>
        <w:jc w:val="left"/>
      </w:pPr>
      <w:r>
        <w:rPr>
          <w:sz w:val="22"/>
          <w:szCs w:val="22"/>
        </w:rPr>
        <w:t xml:space="preserve">The 82-target cohort and the expression-and-selectivity ranking this project treats as a baseline to reorder. Kathad ranks targets on tumour-selectivity and expression features; it computes no protein structure. PharmFoldMDK's entire research question — does a structure-derived suitability axis reorder an expression-based one — is defined against this paper. Using it as a comparator rather than ground truth is the correct framing: its label is ‘attempted / expression-suitable’, not ‘clinically viable’.</w:t>
      </w:r>
    </w:p>
    <w:p>
      <w:pPr>
        <w:spacing w:after="40" w:before="200"/>
      </w:pPr>
      <w:r>
        <w:rPr>
          <w:b/>
          <w:bCs/>
          <w:color w:val="1F4E5B"/>
          <w:sz w:val="23"/>
          <w:szCs w:val="23"/>
        </w:rPr>
        <w:t xml:space="preserve">2. </w:t>
      </w:r>
      <w:r>
        <w:rPr>
          <w:b/>
          <w:bCs/>
          <w:sz w:val="23"/>
          <w:szCs w:val="23"/>
        </w:rPr>
        <w:t xml:space="preserve">Shraim R, et al. (2025). ImmunoTar — integrative prioritization of cell surface targets for cancer immunotherapy.</w:t>
      </w:r>
    </w:p>
    <w:p>
      <w:pPr>
        <w:spacing w:after="40"/>
      </w:pPr>
      <w:r>
        <w:rPr>
          <w:i/>
          <w:iCs/>
          <w:color w:val="5A5A5A"/>
          <w:sz w:val="20"/>
          <w:szCs w:val="20"/>
        </w:rPr>
        <w:t xml:space="preserve">Bioinformatics 41(3): btaf060.  </w:t>
      </w:r>
      <w:hyperlink w:history="1" r:id="rIdmhvx4jfp1eqmahzlkji0j">
        <w:r>
          <w:rPr>
            <w:rStyle w:val="Hyperlink"/>
            <w:sz w:val="20"/>
            <w:szCs w:val="20"/>
          </w:rPr>
          <w:t xml:space="preserve">[link]</w:t>
        </w:r>
      </w:hyperlink>
    </w:p>
    <w:p>
      <w:pPr>
        <w:spacing w:after="60"/>
      </w:pPr>
      <w:r>
        <w:rPr>
          <w:b/>
          <w:bCs/>
          <w:sz w:val="21"/>
          <w:szCs w:val="21"/>
        </w:rPr>
        <w:t xml:space="preserve">Role here: </w:t>
      </w:r>
      <w:r>
        <w:rPr>
          <w:i/>
          <w:iCs/>
          <w:sz w:val="21"/>
          <w:szCs w:val="21"/>
        </w:rPr>
        <w:t xml:space="preserve">The closest published tool — same task, disjoint features.</w:t>
      </w:r>
    </w:p>
    <w:p>
      <w:pPr>
        <w:spacing w:after="130" w:line="276"/>
        <w:jc w:val="left"/>
      </w:pPr>
      <w:r>
        <w:rPr>
          <w:sz w:val="22"/>
          <w:szCs w:val="22"/>
        </w:rPr>
        <w:t xml:space="preserve">The single most important paper for positioning. ImmunoTar does exactly what this project does at the task level: it quantitatively prioritises cell-surface targets for immunotherapy, ADCs included. But it integrates RNA-seq / proteomics with features pulled from public databases — it has no predicted-structure features at all. That a peer-reviewed 2025 tool solving the same problem uses an entirely omics-based feature space is the strongest single piece of evidence that structure-derived ranking features are an open niche, not a solved one.</w:t>
      </w:r>
    </w:p>
    <w:p>
      <w:pPr>
        <w:spacing w:after="40" w:before="200"/>
      </w:pPr>
      <w:r>
        <w:rPr>
          <w:b/>
          <w:bCs/>
          <w:color w:val="1F4E5B"/>
          <w:sz w:val="23"/>
          <w:szCs w:val="23"/>
        </w:rPr>
        <w:t xml:space="preserve">3. </w:t>
      </w:r>
      <w:r>
        <w:rPr>
          <w:b/>
          <w:bCs/>
          <w:sz w:val="23"/>
          <w:szCs w:val="23"/>
        </w:rPr>
        <w:t xml:space="preserve">In-silico prediction + SPR to identify ovarian-cancer ADC targets (‘ADC Target Vault’). (2023).</w:t>
      </w:r>
    </w:p>
    <w:p>
      <w:pPr>
        <w:spacing w:after="40"/>
      </w:pPr>
      <w:r>
        <w:rPr>
          <w:i/>
          <w:iCs/>
          <w:color w:val="5A5A5A"/>
          <w:sz w:val="20"/>
          <w:szCs w:val="20"/>
        </w:rPr>
        <w:t xml:space="preserve">Pharmaceutics / PMC10594448.  </w:t>
      </w:r>
      <w:hyperlink w:history="1" r:id="rIdbn6xsq5zjaunemr6cmh8q">
        <w:r>
          <w:rPr>
            <w:rStyle w:val="Hyperlink"/>
            <w:sz w:val="20"/>
            <w:szCs w:val="20"/>
          </w:rPr>
          <w:t xml:space="preserve">[link]</w:t>
        </w:r>
      </w:hyperlink>
    </w:p>
    <w:p>
      <w:pPr>
        <w:spacing w:after="60"/>
      </w:pPr>
      <w:r>
        <w:rPr>
          <w:b/>
          <w:bCs/>
          <w:sz w:val="21"/>
          <w:szCs w:val="21"/>
        </w:rPr>
        <w:t xml:space="preserve">Role here: </w:t>
      </w:r>
      <w:r>
        <w:rPr>
          <w:i/>
          <w:iCs/>
          <w:sz w:val="21"/>
          <w:szCs w:val="21"/>
        </w:rPr>
        <w:t xml:space="preserve">Closest in intent; validates by wet-lab, not by structure.</w:t>
      </w:r>
    </w:p>
    <w:p>
      <w:pPr>
        <w:spacing w:after="130" w:line="276"/>
        <w:jc w:val="left"/>
      </w:pPr>
      <w:r>
        <w:rPr>
          <w:sz w:val="22"/>
          <w:szCs w:val="22"/>
        </w:rPr>
        <w:t xml:space="preserve">A rationalised ADC-target pipeline built on a computational target database and validated by surface-plasmon-resonance internalisation assays. Nearest neighbour on the ‘prioritise ADC targets computationally’ axis, but it folds nothing — suitability is confirmed experimentally. Confirms the field reaches for databases and assays where this project reaches for predicted geometry.</w:t>
      </w:r>
    </w:p>
    <w:p>
      <w:pPr>
        <w:spacing w:after="40" w:before="200"/>
      </w:pPr>
      <w:r>
        <w:rPr>
          <w:b/>
          <w:bCs/>
          <w:color w:val="1F4E5B"/>
          <w:sz w:val="23"/>
          <w:szCs w:val="23"/>
        </w:rPr>
        <w:t xml:space="preserve">4. </w:t>
      </w:r>
      <w:r>
        <w:rPr>
          <w:b/>
          <w:bCs/>
          <w:sz w:val="23"/>
          <w:szCs w:val="23"/>
        </w:rPr>
        <w:t xml:space="preserve">ADCNet: a unified framework for predicting the activity of antibody-drug conjugates. (2024).</w:t>
      </w:r>
    </w:p>
    <w:p>
      <w:pPr>
        <w:spacing w:after="40"/>
      </w:pPr>
      <w:r>
        <w:rPr>
          <w:i/>
          <w:iCs/>
          <w:color w:val="5A5A5A"/>
          <w:sz w:val="20"/>
          <w:szCs w:val="20"/>
        </w:rPr>
        <w:t xml:space="preserve">arXiv:2401.09176.  </w:t>
      </w:r>
      <w:hyperlink w:history="1" r:id="rIdlvtdesvt0tvo8zsqs4tzb">
        <w:r>
          <w:rPr>
            <w:rStyle w:val="Hyperlink"/>
            <w:sz w:val="20"/>
            <w:szCs w:val="20"/>
          </w:rPr>
          <w:t xml:space="preserve">[link]</w:t>
        </w:r>
      </w:hyperlink>
    </w:p>
    <w:p>
      <w:pPr>
        <w:spacing w:after="60"/>
      </w:pPr>
      <w:r>
        <w:rPr>
          <w:b/>
          <w:bCs/>
          <w:sz w:val="21"/>
          <w:szCs w:val="21"/>
        </w:rPr>
        <w:t xml:space="preserve">Role here: </w:t>
      </w:r>
      <w:r>
        <w:rPr>
          <w:i/>
          <w:iCs/>
          <w:sz w:val="21"/>
          <w:szCs w:val="21"/>
        </w:rPr>
        <w:t xml:space="preserve">Uses the ESM family — but embeddings, and for activity not target rank.</w:t>
      </w:r>
    </w:p>
    <w:p>
      <w:pPr>
        <w:spacing w:after="130" w:line="276"/>
        <w:jc w:val="left"/>
      </w:pPr>
      <w:r>
        <w:rPr>
          <w:sz w:val="22"/>
          <w:szCs w:val="22"/>
        </w:rPr>
        <w:t xml:space="preserve">Represents both antibody and antigen with ESM-2 sequence embeddings (1280-dim vectors) to predict ADC activity. Shares the ESM lineage with this project, which distinguishes the two cleanly: ADCNet consumes the language-model representation; PharmFoldMDK consumes the folded 3D structure and computes explicit geometric features (radius of gyration, SASA, membrane-proximal pLDDT). Embedding-based activity prediction and geometry-based target ranking are different modelling choices on different outputs.</w:t>
      </w:r>
    </w:p>
    <w:p>
      <w:pPr>
        <w:spacing w:after="40" w:before="200"/>
      </w:pPr>
      <w:r>
        <w:rPr>
          <w:b/>
          <w:bCs/>
          <w:color w:val="1F4E5B"/>
          <w:sz w:val="23"/>
          <w:szCs w:val="23"/>
        </w:rPr>
        <w:t xml:space="preserve">5. </w:t>
      </w:r>
      <w:r>
        <w:rPr>
          <w:b/>
          <w:bCs/>
          <w:sz w:val="23"/>
          <w:szCs w:val="23"/>
        </w:rPr>
        <w:t xml:space="preserve">ESMFold2 / Biohub world model of protein biology. (2026).</w:t>
      </w:r>
    </w:p>
    <w:p>
      <w:pPr>
        <w:spacing w:after="40"/>
      </w:pPr>
      <w:r>
        <w:rPr>
          <w:i/>
          <w:iCs/>
          <w:color w:val="5A5A5A"/>
          <w:sz w:val="20"/>
          <w:szCs w:val="20"/>
        </w:rPr>
        <w:t xml:space="preserve">Biohub preprint &amp; release.  </w:t>
      </w:r>
      <w:hyperlink w:history="1" r:id="rIdsiimrxciyo2ac7v9hajl2">
        <w:r>
          <w:rPr>
            <w:rStyle w:val="Hyperlink"/>
            <w:sz w:val="20"/>
            <w:szCs w:val="20"/>
          </w:rPr>
          <w:t xml:space="preserve">[link]</w:t>
        </w:r>
      </w:hyperlink>
    </w:p>
    <w:p>
      <w:pPr>
        <w:spacing w:after="60"/>
      </w:pPr>
      <w:r>
        <w:rPr>
          <w:b/>
          <w:bCs/>
          <w:sz w:val="21"/>
          <w:szCs w:val="21"/>
        </w:rPr>
        <w:t xml:space="preserve">Role here: </w:t>
      </w:r>
      <w:r>
        <w:rPr>
          <w:i/>
          <w:iCs/>
          <w:sz w:val="21"/>
          <w:szCs w:val="21"/>
        </w:rPr>
        <w:t xml:space="preserve">State-of-the-art single-sequence folding — aimed at binder design.</w:t>
      </w:r>
    </w:p>
    <w:p>
      <w:pPr>
        <w:spacing w:after="130" w:line="276"/>
        <w:jc w:val="left"/>
      </w:pPr>
      <w:r>
        <w:rPr>
          <w:sz w:val="22"/>
          <w:szCs w:val="22"/>
        </w:rPr>
        <w:t xml:space="preserve">The current frontier of MSA-free structure prediction, benchmarked on antibody-antigen complex prediction and used to design binders against EGFR, PD-L1 and others. It folds the antibody against a known target to design a drug; this project folds the target antigen's ECD to rank targets. Same underlying technology (single-sequence transformer folding), opposite end of the pipeline. Worth citing as the direction the base model is heading — and as a natural upgrade path from ESMFold-v1.</w:t>
      </w:r>
    </w:p>
    <w:p>
      <w:pPr>
        <w:spacing w:after="40" w:before="200"/>
      </w:pPr>
      <w:r>
        <w:rPr>
          <w:b/>
          <w:bCs/>
          <w:color w:val="1F4E5B"/>
          <w:sz w:val="23"/>
          <w:szCs w:val="23"/>
        </w:rPr>
        <w:t xml:space="preserve">6. </w:t>
      </w:r>
      <w:r>
        <w:rPr>
          <w:b/>
          <w:bCs/>
          <w:sz w:val="23"/>
          <w:szCs w:val="23"/>
        </w:rPr>
        <w:t xml:space="preserve">Site4Drug (2026) and SEPPA / SITA epitope-accessibility predictors (via npj Precision Oncology review, 2025).</w:t>
      </w:r>
    </w:p>
    <w:p>
      <w:pPr>
        <w:spacing w:after="40"/>
      </w:pPr>
      <w:r>
        <w:rPr>
          <w:i/>
          <w:iCs/>
          <w:color w:val="5A5A5A"/>
          <w:sz w:val="20"/>
          <w:szCs w:val="20"/>
        </w:rPr>
        <w:t xml:space="preserve">arXiv:2606.01816; Nat. npj Prec. Oncol. s41698-025-01159-2.  </w:t>
      </w:r>
      <w:hyperlink w:history="1" r:id="rIdu6uj3l_ssqsxsupcjmflm">
        <w:r>
          <w:rPr>
            <w:rStyle w:val="Hyperlink"/>
            <w:sz w:val="20"/>
            <w:szCs w:val="20"/>
          </w:rPr>
          <w:t xml:space="preserve">[link]</w:t>
        </w:r>
      </w:hyperlink>
    </w:p>
    <w:p>
      <w:pPr>
        <w:spacing w:after="60"/>
      </w:pPr>
      <w:r>
        <w:rPr>
          <w:b/>
          <w:bCs/>
          <w:sz w:val="21"/>
          <w:szCs w:val="21"/>
        </w:rPr>
        <w:t xml:space="preserve">Role here: </w:t>
      </w:r>
      <w:r>
        <w:rPr>
          <w:i/>
          <w:iCs/>
          <w:sz w:val="21"/>
          <w:szCs w:val="21"/>
        </w:rPr>
        <w:t xml:space="preserve">Closest in method — 3D surface, but residue-level not target-level.</w:t>
      </w:r>
    </w:p>
    <w:p>
      <w:pPr>
        <w:spacing w:after="130" w:line="276"/>
        <w:jc w:val="left"/>
      </w:pPr>
      <w:r>
        <w:rPr>
          <w:sz w:val="22"/>
          <w:szCs w:val="22"/>
        </w:rPr>
        <w:t xml:space="preserve">These use 3D structure and solvent accessibility of an antigen — the same raw signal this project extracts — but to choose an epitope or binding site on a single, already-chosen target. PharmFoldMDK applies structural accessibility one level up: as a feature to rank whole targets against each other. The methodological overlap (surface geometry from predicted structure) with the task difference (target ranking vs. epitope selection) is precisely where the contribution sits.</w:t>
      </w:r>
    </w:p>
    <w:p>
      <w:pPr>
        <w:spacing w:after="40" w:before="200"/>
      </w:pPr>
      <w:r>
        <w:rPr>
          <w:b/>
          <w:bCs/>
          <w:color w:val="1F4E5B"/>
          <w:sz w:val="23"/>
          <w:szCs w:val="23"/>
        </w:rPr>
        <w:t xml:space="preserve">7. </w:t>
      </w:r>
      <w:r>
        <w:rPr>
          <w:b/>
          <w:bCs/>
          <w:sz w:val="23"/>
          <w:szCs w:val="23"/>
        </w:rPr>
        <w:t xml:space="preserve">Li Y, et al. (2025). Leveraging AI in ADC development: from target identification to clinical translation.</w:t>
      </w:r>
    </w:p>
    <w:p>
      <w:pPr>
        <w:spacing w:after="40"/>
      </w:pPr>
      <w:r>
        <w:rPr>
          <w:i/>
          <w:iCs/>
          <w:color w:val="5A5A5A"/>
          <w:sz w:val="20"/>
          <w:szCs w:val="20"/>
        </w:rPr>
        <w:t xml:space="preserve">npj Precision Oncology; and Trends Pharmacol. Sci. 2025 AI-in-ADC review.  </w:t>
      </w:r>
      <w:hyperlink w:history="1" r:id="rIdxgaa0dhjqyzxdrirjtvp3">
        <w:r>
          <w:rPr>
            <w:rStyle w:val="Hyperlink"/>
            <w:sz w:val="20"/>
            <w:szCs w:val="20"/>
          </w:rPr>
          <w:t xml:space="preserve">[link]</w:t>
        </w:r>
      </w:hyperlink>
    </w:p>
    <w:p>
      <w:pPr>
        <w:spacing w:after="60"/>
      </w:pPr>
      <w:r>
        <w:rPr>
          <w:b/>
          <w:bCs/>
          <w:sz w:val="21"/>
          <w:szCs w:val="21"/>
        </w:rPr>
        <w:t xml:space="preserve">Role here: </w:t>
      </w:r>
      <w:r>
        <w:rPr>
          <w:i/>
          <w:iCs/>
          <w:sz w:val="21"/>
          <w:szCs w:val="21"/>
        </w:rPr>
        <w:t xml:space="preserve">The 2025 survey that maps the whole field — and leaves this cell empty.</w:t>
      </w:r>
    </w:p>
    <w:p>
      <w:pPr>
        <w:spacing w:after="130" w:line="276"/>
        <w:jc w:val="left"/>
      </w:pPr>
      <w:r>
        <w:rPr>
          <w:sz w:val="22"/>
          <w:szCs w:val="22"/>
        </w:rPr>
        <w:t xml:space="preserve">A current, comprehensive map of AI across the ADC pipeline. It frames target discovery as multi-omics integration and graph-based learning to prioritise internalising antigens, and it treats 3D structure under epitope / immunogenicity prediction. Nowhere does it describe predicted-ECD-geometry as a target-ranking feature. Citing a 2025 review to show the gap — rather than asserting the gap from silence — is the defensible way to claim novelty to an academic audience.</w:t>
      </w:r>
    </w:p>
    <w:p>
      <w:pPr>
        <w:pStyle w:val="Heading1"/>
        <w:spacing w:after="140" w:before="320"/>
      </w:pPr>
      <w:r>
        <w:rPr>
          <w:b/>
          <w:bCs/>
          <w:color w:val="1F4E5B"/>
          <w:sz w:val="30"/>
          <w:szCs w:val="30"/>
        </w:rPr>
        <w:t xml:space="preserve">How the F-004 result reads against this literature</w:t>
      </w:r>
    </w:p>
    <w:p>
      <w:pPr>
        <w:spacing w:after="130" w:line="276"/>
        <w:jc w:val="left"/>
      </w:pPr>
      <w:r>
        <w:rPr>
          <w:sz w:val="22"/>
          <w:szCs w:val="22"/>
        </w:rPr>
        <w:t xml:space="preserve">The pre-registered result — the structural axis ranks attempted-ADC targets modestly above chance, is </w:t>
      </w:r>
      <w:r>
        <w:rPr>
          <w:i/>
          <w:iCs/>
          <w:sz w:val="22"/>
          <w:szCs w:val="22"/>
        </w:rPr>
        <w:t xml:space="preserve">not distinguishable</w:t>
      </w:r>
      <w:r>
        <w:rPr>
          <w:sz w:val="22"/>
          <w:szCs w:val="22"/>
        </w:rPr>
        <w:t xml:space="preserve"> from the expression comparator, and is </w:t>
      </w:r>
      <w:r>
        <w:rPr>
          <w:i/>
          <w:iCs/>
          <w:sz w:val="22"/>
          <w:szCs w:val="22"/>
        </w:rPr>
        <w:t xml:space="preserve">not a proxy</w:t>
      </w:r>
      <w:r>
        <w:rPr>
          <w:sz w:val="22"/>
          <w:szCs w:val="22"/>
        </w:rPr>
        <w:t xml:space="preserve"> for it (near-zero Spearman) — is exactly the result this gap analysis predicts a first honest study should produce. Because ImmunoTar and Kathad show the ranking task is well-served by omics, the interesting question was never ‘does structure beat expression’ but ‘does structure measure something expression misses’. The orthogonality result (Spearman ≈ −0.05) answers that: the axes are largely independent. Whether the independent structural signal </w:t>
      </w:r>
      <w:r>
        <w:rPr>
          <w:i/>
          <w:iCs/>
          <w:sz w:val="22"/>
          <w:szCs w:val="22"/>
        </w:rPr>
        <w:t xml:space="preserve">adds</w:t>
      </w:r>
      <w:r>
        <w:rPr>
          <w:sz w:val="22"/>
          <w:szCs w:val="22"/>
        </w:rPr>
        <w:t xml:space="preserve"> predictive value cannot be shown at n=12 — and the honest reading is that more labelled targets, not more parameters, is the path to answering it. That is a more defensible contribution than a fitted model claiming to out-rank expression on twelve labels.</w:t>
      </w:r>
    </w:p>
    <w:p>
      <w:pPr>
        <w:spacing w:after="130" w:line="276"/>
        <w:jc w:val="left"/>
      </w:pPr>
      <w:r>
        <w:rPr>
          <w:sz w:val="22"/>
          <w:szCs w:val="22"/>
        </w:rPr>
        <w:t xml:space="preserve">One open confound is named rather than hidden: two of the six features are pLDDT-derived, and ESMFold confidence partly tracks how well-represented a protein family is in training data — which tracks research attention — which tracks having been attempted as an ADC. The near-zero comparator correlation argues against this path, but the comparator is a weak stand-in for attention, so it stays recorded as open. Stating this to an academic audience pre-empts the sharpest question a reviewer would ask.</w:t>
      </w:r>
    </w:p>
    <w:p>
      <w:pPr>
        <w:pStyle w:val="Heading1"/>
        <w:spacing w:after="140" w:before="320"/>
      </w:pPr>
      <w:r>
        <w:rPr>
          <w:b/>
          <w:bCs/>
          <w:color w:val="1F4E5B"/>
          <w:sz w:val="30"/>
          <w:szCs w:val="30"/>
        </w:rPr>
        <w:t xml:space="preserve">Recommended positioning for presentation and introductions</w:t>
      </w:r>
    </w:p>
    <w:p>
      <w:pPr>
        <w:pStyle w:val="ListParagraph"/>
        <w:numPr>
          <w:ilvl w:val="0"/>
          <w:numId w:val="1"/>
        </w:numPr>
        <w:spacing w:after="80" w:line="268"/>
      </w:pPr>
      <w:r>
        <w:rPr>
          <w:b/>
          <w:bCs/>
          <w:sz w:val="22"/>
          <w:szCs w:val="22"/>
        </w:rPr>
        <w:t xml:space="preserve">Lead with the empty intersection, not the tool. </w:t>
      </w:r>
      <w:r>
        <w:rPr>
          <w:sz w:val="22"/>
          <w:szCs w:val="22"/>
        </w:rPr>
        <w:t xml:space="preserve">‘Target-ranking is omics; structure is binder-design; nobody ranks targets on structure’ is the memorable one-line contribution.</w:t>
      </w:r>
    </w:p>
    <w:p>
      <w:pPr>
        <w:pStyle w:val="ListParagraph"/>
        <w:numPr>
          <w:ilvl w:val="0"/>
          <w:numId w:val="1"/>
        </w:numPr>
        <w:spacing w:after="80" w:line="268"/>
      </w:pPr>
      <w:r>
        <w:rPr>
          <w:b/>
          <w:bCs/>
          <w:sz w:val="22"/>
          <w:szCs w:val="22"/>
        </w:rPr>
        <w:t xml:space="preserve">Cite ImmunoTar (2025) and the npj review (2025) as the proof the gap is current — </w:t>
      </w:r>
      <w:r>
        <w:rPr>
          <w:sz w:val="22"/>
          <w:szCs w:val="22"/>
        </w:rPr>
        <w:t xml:space="preserve">a peer-reviewed same-task tool with zero structural features is stronger than any assertion of novelty.</w:t>
      </w:r>
    </w:p>
    <w:p>
      <w:pPr>
        <w:pStyle w:val="ListParagraph"/>
        <w:numPr>
          <w:ilvl w:val="0"/>
          <w:numId w:val="1"/>
        </w:numPr>
        <w:spacing w:after="80" w:line="268"/>
      </w:pPr>
      <w:r>
        <w:rPr>
          <w:b/>
          <w:bCs/>
          <w:sz w:val="22"/>
          <w:szCs w:val="22"/>
        </w:rPr>
        <w:t xml:space="preserve">Lead the result with the null, not NECTIN4. </w:t>
      </w:r>
      <w:r>
        <w:rPr>
          <w:sz w:val="22"/>
          <w:szCs w:val="22"/>
        </w:rPr>
        <w:t xml:space="preserve">‘We pre-registered two negative outcomes; one fired, one didn’t; orthogonal-but-unproven’ is the academically serious claim. A famous target ranking high is consistent with signal and with the pLDDT confound — not narrated as validation.</w:t>
      </w:r>
    </w:p>
    <w:p>
      <w:pPr>
        <w:pStyle w:val="ListParagraph"/>
        <w:numPr>
          <w:ilvl w:val="0"/>
          <w:numId w:val="1"/>
        </w:numPr>
        <w:spacing w:after="80" w:line="268"/>
      </w:pPr>
      <w:r>
        <w:rPr>
          <w:b/>
          <w:bCs/>
          <w:sz w:val="22"/>
          <w:szCs w:val="22"/>
        </w:rPr>
        <w:t xml:space="preserve">Name ESMFold2 as the upgrade path. </w:t>
      </w:r>
      <w:r>
        <w:rPr>
          <w:sz w:val="22"/>
          <w:szCs w:val="22"/>
        </w:rPr>
        <w:t xml:space="preserve">Shows awareness of the frontier and a concrete next step, which is what the reviewer introductions will probe.</w:t>
      </w:r>
    </w:p>
    <w:p>
      <w:pPr>
        <w:pBdr>
          <w:top w:val="single" w:color="D0D0D0" w:sz="4"/>
        </w:pBdr>
        <w:spacing w:before="300"/>
      </w:pPr>
      <w:r>
        <w:rPr>
          <w:i/>
          <w:iCs/>
          <w:color w:val="5A5A5A"/>
          <w:sz w:val="18"/>
          <w:szCs w:val="18"/>
        </w:rPr>
        <w:t xml:space="preserve">Provenance: assembled by focused nearest-neighbour retrieval, 2026-07-31. Not a systematic review. Every citation links to a primary source; each was opened, not cited from a snippet. Novelty is claimed as ‘no closer neighbour found in a focused pass’, per the project’s D-016 how-known discipline.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eo9ky2prp3m_85moakog" Type="http://schemas.openxmlformats.org/officeDocument/2006/relationships/hyperlink" Target="https://journals.plos.org/plosone/article?id=10.1371/journal.pone.0308604" TargetMode="External"/><Relationship Id="rIdmhvx4jfp1eqmahzlkji0j" Type="http://schemas.openxmlformats.org/officeDocument/2006/relationships/hyperlink" Target="https://academic.oup.com/bioinformatics/article/41/3/btaf060/8008580" TargetMode="External"/><Relationship Id="rIdbn6xsq5zjaunemr6cmh8q" Type="http://schemas.openxmlformats.org/officeDocument/2006/relationships/hyperlink" Target="https://www.ncbi.nlm.nih.gov/pmc/articles/PMC10594448/" TargetMode="External"/><Relationship Id="rIdlvtdesvt0tvo8zsqs4tzb" Type="http://schemas.openxmlformats.org/officeDocument/2006/relationships/hyperlink" Target="https://arxiv.org/pdf/2401.09176" TargetMode="External"/><Relationship Id="rIdsiimrxciyo2ac7v9hajl2" Type="http://schemas.openxmlformats.org/officeDocument/2006/relationships/hyperlink" Target="https://biohub.org/news/world-model-of-protein-biology/" TargetMode="External"/><Relationship Id="rIdu6uj3l_ssqsxsupcjmflm" Type="http://schemas.openxmlformats.org/officeDocument/2006/relationships/hyperlink" Target="https://www.nature.com/articles/s41698-025-01159-2" TargetMode="External"/><Relationship Id="rIdxgaa0dhjqyzxdrirjtvp3" Type="http://schemas.openxmlformats.org/officeDocument/2006/relationships/hyperlink" Target="https://www.nature.com/articles/s41698-025-01159-2"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PharmFoldMDK Literature Review &amp; Novelty Assessment</dc:title>
  <dc:creator>PharmFoldMDK</dc:creator>
  <cp:lastModifiedBy>Un-named</cp:lastModifiedBy>
  <cp:revision>1</cp:revision>
  <dcterms:created xsi:type="dcterms:W3CDTF">2026-08-01T15:19:54.719Z</dcterms:created>
  <dcterms:modified xsi:type="dcterms:W3CDTF">2026-08-01T15:19:54.746Z</dcterms:modified>
</cp:coreProperties>
</file>

<file path=docProps/custom.xml><?xml version="1.0" encoding="utf-8"?>
<Properties xmlns="http://schemas.openxmlformats.org/officeDocument/2006/custom-properties" xmlns:vt="http://schemas.openxmlformats.org/officeDocument/2006/docPropsVTypes"/>
</file>